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Arial" w:hAnsi="Arial"/>
          <w:b/>
          <w:color w:val="0F766E"/>
          <w:sz w:val="20"/>
        </w:rPr>
        <w:t>RisenFynix / MVA Simplified</w:t>
      </w:r>
    </w:p>
    <w:p>
      <w:pPr>
        <w:pStyle w:val="Heading1"/>
      </w:pPr>
      <w:r>
        <w:rPr>
          <w:rFonts w:ascii="Arial" w:hAnsi="Arial"/>
        </w:rPr>
        <w:t>Appointment Scheduling Call Script</w:t>
      </w:r>
    </w:p>
    <w:p>
      <w:r>
        <w:rPr>
          <w:rFonts w:ascii="Arial" w:hAnsi="Arial"/>
          <w:color w:val="4B5563"/>
          <w:sz w:val="18"/>
        </w:rPr>
        <w:t>Healthcare VA Learning Hub | Learn US Healthcare Admin One Workflow at a Time.</w:t>
      </w:r>
    </w:p>
    <w:tbl>
      <w:tblPr>
        <w:tblStyle w:val="TableGrid"/>
        <w:tblW w:type="auto" w:w="0"/>
        <w:jc w:val="center"/>
        <w:tblLook w:firstColumn="1" w:firstRow="1" w:lastColumn="0" w:lastRow="0" w:noHBand="0" w:noVBand="1" w:val="04A0"/>
      </w:tblPr>
      <w:tblGrid>
        <w:gridCol w:w="5184"/>
        <w:gridCol w:w="5184"/>
      </w:tblGrid>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Resource type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Script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Who it is for</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Schedulers, receptionists, Medical VAs, and front-end RCM beginners.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When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Use before practicing patient scheduling calls, intake scripts, or appointment-readiness workflows.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How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Follow the call flow, use bracketed editable fields, and document only fictional practice details.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Last reviewed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July 2026</w:t>
            </w:r>
          </w:p>
        </w:tc>
      </w:tr>
    </w:tbl>
    <w:p>
      <w:r>
        <w:rPr>
          <w:rFonts w:ascii="Arial" w:hAnsi="Arial"/>
          <w:b/>
          <w:color w:val="0F766E"/>
        </w:rPr>
        <w:t>Core learning rule: Where does this happen? Why does it matter? What happens if it is wrong?</w:t>
      </w:r>
    </w:p>
    <w:p>
      <w:r>
        <w:rPr>
          <w:rFonts w:ascii="Arial" w:hAnsi="Arial"/>
          <w:b/>
          <w:color w:val="9A3412"/>
        </w:rPr>
        <w:t>Front-end language should use verify and may. Do not imply eligibility or authorization guarantees coverage or payment.</w:t>
      </w:r>
    </w:p>
    <w:p>
      <w:pPr>
        <w:pStyle w:val="Heading2"/>
      </w:pPr>
      <w:r>
        <w:t>Purpose</w:t>
      </w:r>
    </w:p>
    <w:p>
      <w:r>
        <w:rPr>
          <w:rFonts w:ascii="Arial" w:hAnsi="Arial"/>
        </w:rPr>
        <w:t>Use this script to practice a safe, organized scheduling call that supports front-end RCM before the visit.</w:t>
      </w:r>
    </w:p>
    <w:p>
      <w:pPr>
        <w:pStyle w:val="Heading2"/>
      </w:pPr>
      <w:r>
        <w:t>Call flow</w:t>
      </w:r>
    </w:p>
    <w:tbl>
      <w:tblPr>
        <w:tblStyle w:val="TableGrid"/>
        <w:tblW w:type="auto" w:w="0"/>
        <w:jc w:val="center"/>
        <w:tblLook w:firstColumn="1" w:firstRow="1" w:lastColumn="0" w:lastRow="0" w:noHBand="0" w:noVBand="1" w:val="04A0"/>
      </w:tblPr>
      <w:tblGrid>
        <w:gridCol w:w="3456"/>
        <w:gridCol w:w="3456"/>
        <w:gridCol w:w="3456"/>
      </w:tblGrid>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Stage</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Suggested wording</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RCM reason</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Opening</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Thank you for calling [CLINIC NAME]. This is [YOUR NAME]. How may I help you today?</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Sets a professional tone and identifies the caller need.</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Limited identity check</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May I confirm the information your clinic policy allows before discussing the appointment?</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Protects privacy and follows client instructions.</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Visit reason</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What type of visit or concern are you scheduling for? Is this new, follow-up, procedure-related, referral-related, or urgent?</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Helps match appointment type, provider, location, benefits, referral, and possible authorization trigger.</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Insurance intake</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Has your insurance changed since your last visit? Please provide the front and back details through the clinic-approved process.</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Avoids wrong payer, old plan, or missed card information.</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Provider/location</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The appointment may depend on provider, location, plan network, referral, or authorization requirements. I will document this for verification.</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Prevents implying eligibility or authorization guarantee.</w:t>
            </w:r>
          </w:p>
        </w:tc>
      </w:tr>
      <w:tr>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Closing</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Your appointment is scheduled for [DATE/TIME]. Coverage, benefits, referral, and authorization requirements may still need verification based on payer and clinic policy.</w:t>
            </w:r>
          </w:p>
        </w:tc>
        <w:tc>
          <w:tcPr>
            <w:tcW w:type="dxa" w:w="3456"/>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Uses verify/may language and avoids payment guarantees.</w:t>
            </w:r>
          </w:p>
        </w:tc>
      </w:tr>
    </w:tbl>
    <w:p>
      <w:pPr>
        <w:pStyle w:val="Heading2"/>
      </w:pPr>
      <w:r>
        <w:t>Documentation reminder</w:t>
      </w:r>
    </w:p>
    <w:p>
      <w:r>
        <w:rPr>
          <w:rFonts w:ascii="Arial" w:hAnsi="Arial"/>
        </w:rPr>
        <w:t>[ ] Appointment type, provider, location, and visit purpose documented</w:t>
      </w:r>
    </w:p>
    <w:p>
      <w:r>
        <w:rPr>
          <w:rFonts w:ascii="Arial" w:hAnsi="Arial"/>
        </w:rPr>
        <w:t>[ ] Insurance update noted or insurance unchanged noted based on client policy</w:t>
      </w:r>
    </w:p>
    <w:p>
      <w:r>
        <w:rPr>
          <w:rFonts w:ascii="Arial" w:hAnsi="Arial"/>
        </w:rPr>
        <w:t>[ ] Referral/auth trigger identified for verification team if applicable</w:t>
      </w:r>
    </w:p>
    <w:p>
      <w:r>
        <w:rPr>
          <w:rFonts w:ascii="Arial" w:hAnsi="Arial"/>
        </w:rPr>
        <w:t>[ ] Patient told only approved, non-guarantee language</w:t>
      </w:r>
    </w:p>
    <w:p>
      <w:r>
        <w:rPr>
          <w:rFonts w:ascii="Arial" w:hAnsi="Arial"/>
        </w:rPr>
        <w:t>[ ] Next action and owner documented</w:t>
      </w:r>
    </w:p>
    <w:p>
      <w:pPr>
        <w:pStyle w:val="Heading2"/>
      </w:pPr>
      <w:r>
        <w:t>What not to say</w:t>
      </w:r>
    </w:p>
    <w:p>
      <w:pPr>
        <w:pStyle w:val="ListBullet"/>
      </w:pPr>
      <w:r>
        <w:t>Do not say, "Your insurance will cover this."</w:t>
      </w:r>
    </w:p>
    <w:p>
      <w:pPr>
        <w:pStyle w:val="ListBullet"/>
      </w:pPr>
      <w:r>
        <w:t>Do not say, "Authorization means it will be paid."</w:t>
      </w:r>
    </w:p>
    <w:p>
      <w:pPr>
        <w:pStyle w:val="ListBullet"/>
      </w:pPr>
      <w:r>
        <w:t>Do not promise exact patient responsibility unless verified and allowed by client policy.</w:t>
      </w:r>
    </w:p>
    <w:p>
      <w:pPr>
        <w:pStyle w:val="ListBullet"/>
      </w:pPr>
      <w:r>
        <w:t>Do not request or store PHI outside approved systems.</w:t>
      </w:r>
    </w:p>
    <w:p>
      <w:pPr>
        <w:pStyle w:val="Heading2"/>
      </w:pPr>
      <w:r>
        <w:t>Fictional example</w:t>
      </w:r>
    </w:p>
    <w:p>
      <w:r>
        <w:rPr>
          <w:rFonts w:ascii="Arial" w:hAnsi="Arial"/>
        </w:rPr>
        <w:t>[FICTIONAL EXAMPLE ONLY] Simulated patient calls for a physical therapy visit. Scheduler confirms appointment type, notes plan changed to a new commercial PPO, documents the clinic location and provider, and routes eligibility/auth review before the visit.</w:t>
      </w:r>
    </w:p>
    <w:p>
      <w:pPr>
        <w:pStyle w:val="Heading2"/>
      </w:pPr>
      <w:r>
        <w:t>Common beginner mistakes</w:t>
      </w:r>
    </w:p>
    <w:p>
      <w:pPr>
        <w:pStyle w:val="ListBullet"/>
      </w:pPr>
      <w:r>
        <w:t>Skipping updated insurance questions when the patient is returning.</w:t>
      </w:r>
    </w:p>
    <w:p>
      <w:pPr>
        <w:pStyle w:val="ListBullet"/>
      </w:pPr>
      <w:r>
        <w:t>Treating scheduling as separate from claim protection.</w:t>
      </w:r>
    </w:p>
    <w:p>
      <w:pPr>
        <w:pStyle w:val="ListBullet"/>
      </w:pPr>
      <w:r>
        <w:t>Promising coverage, payment, referral approval, or authorization results.</w:t>
      </w:r>
    </w:p>
    <w:p>
      <w:pPr>
        <w:pStyle w:val="ListBullet"/>
      </w:pPr>
      <w:r>
        <w:t>Failing to document appointment type, provider, location, and next action.</w:t>
      </w:r>
    </w:p>
    <w:p>
      <w:pPr>
        <w:pStyle w:val="Heading2"/>
      </w:pPr>
      <w:r>
        <w:t>Safe practice reminder</w:t>
      </w:r>
    </w:p>
    <w:p>
      <w:r>
        <w:rPr>
          <w:rFonts w:ascii="Arial" w:hAnsi="Arial"/>
        </w:rPr>
        <w:t>Practice with fictional examples only. Do not copy real work queues, payer portals, clinic notes, employer SOPs, screenshots, patient accounts, or client information into any practice file.</w:t>
      </w:r>
    </w:p>
    <w:p>
      <w:pPr>
        <w:pStyle w:val="Heading2"/>
      </w:pPr>
      <w:r>
        <w:t>No-PHI reminder</w:t>
      </w:r>
    </w:p>
    <w:p>
      <w:r>
        <w:rPr>
          <w:rFonts w:ascii="Arial" w:hAnsi="Arial"/>
        </w:rPr>
        <w:t>Do not use or enter real patient names, dates of birth, insurance IDs, member IDs, claim numbers, medical record numbers, addresses, phone numbers, diagnoses, treatment details, login details, or protected health information. Use fictional data only when practicing.</w:t>
      </w:r>
    </w:p>
    <w:p>
      <w:pPr>
        <w:pStyle w:val="Heading2"/>
      </w:pPr>
      <w:r>
        <w:t>Educational disclaimer</w:t>
      </w:r>
    </w:p>
    <w:p>
      <w:r>
        <w:rPr>
          <w:rFonts w:ascii="Arial" w:hAnsi="Arial"/>
        </w:rP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p>
      <w:pPr>
        <w:pStyle w:val="Heading2"/>
      </w:pPr>
      <w:r>
        <w:t>Source/review note</w:t>
      </w:r>
    </w:p>
    <w:p>
      <w:r>
        <w:rPr>
          <w:rFonts w:ascii="Arial" w:hAnsi="Arial"/>
        </w:rPr>
        <w:t>This beginner resource explains general front-end RCM workflow concepts. Requirements can vary by payer, plan, provider type, specialty, place of service, contract, referral rules, authorization rules, and current policy. Verify current requirements with official sources, employer policy, payer rules, client instructions, and updated guidance.</w:t>
      </w:r>
    </w:p>
    <w:p>
      <w:pPr>
        <w:pStyle w:val="Heading2"/>
      </w:pPr>
      <w:r>
        <w:t>Recommended next step</w:t>
      </w:r>
    </w:p>
    <w:p>
      <w:r>
        <w:rPr>
          <w:rFonts w:ascii="Arial" w:hAnsi="Arial"/>
        </w:rPr>
        <w:t>Practice this script with fictional scenarios, then pair it with the Insurance Card Review Checklist and Eligibility &amp; Benefits Verification Checklist.</w:t>
      </w:r>
    </w:p>
    <w:sectPr w:rsidR="00FC693F" w:rsidRPr="0006063C" w:rsidSect="00034616">
      <w:headerReference w:type="default" r:id="rId9"/>
      <w:footerReference w:type="default" r:id="rId10"/>
      <w:pgSz w:w="12240" w:h="15840"/>
      <w:pgMar w:top="792"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rFonts w:ascii="Arial" w:hAnsi="Arial"/>
        <w:color w:val="4B5563"/>
        <w:sz w:val="14"/>
      </w:rPr>
      <w:t>RisenFynix | MVA Simplified</w:t>
      <w:br/>
      <w:t>Healthcare VA Learning Hub</w:t>
      <w:br/>
      <w:t>Educational use only. Do not use real PHI. Verify current requirements with official sources, employer policy, payer rules, and client instructions.</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rial" w:hAnsi="Arial"/>
        <w:color w:val="4B5563"/>
        <w:sz w:val="16"/>
      </w:rPr>
      <w:t>RisenFynix / MVA Simplified | Healthcare VA Learning Hub</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0B1F33"/>
      <w:sz w:val="4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0B1F33"/>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0B1F33"/>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Appointment Scheduling Call Script</dc:title>
  <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