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left"/>
      </w:pPr>
      <w:r>
        <w:rPr>
          <w:b/>
          <w:color w:val="0B1F3A"/>
          <w:sz w:val="20"/>
        </w:rPr>
        <w:t>RisenFynix / MVA Simplified</w:t>
        <w:br/>
      </w:r>
      <w:r>
        <w:rPr>
          <w:color w:val="008C95"/>
          <w:sz w:val="18"/>
        </w:rPr>
        <w:t>Healthcare VA Learning Hub</w:t>
      </w:r>
    </w:p>
    <w:p>
      <w:pPr>
        <w:pStyle w:val="Title"/>
      </w:pPr>
      <w:r>
        <w:t>Beginner Medical VA Portfolio Sample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FFFFFF"/>
          </w:tcPr>
          <w:p>
            <w:r/>
            <w:r>
              <w:rPr>
                <w:b w:val="0"/>
                <w:color w:val="263238"/>
                <w:sz w:val="17"/>
              </w:rPr>
              <w:t>Resource Type</w:t>
            </w:r>
          </w:p>
        </w:tc>
        <w:tc>
          <w:tcPr>
            <w:tcW w:type="dxa" w:w="4320"/>
            <w:vAlign w:val="top"/>
            <w:shd w:fill="FFFFFF"/>
          </w:tcPr>
          <w:p>
            <w:r/>
            <w:r>
              <w:rPr>
                <w:b w:val="0"/>
                <w:color w:val="263238"/>
                <w:sz w:val="17"/>
              </w:rPr>
              <w:t>Resume Tool / Portfolio Sample</w:t>
            </w:r>
          </w:p>
        </w:tc>
      </w:tr>
      <w:tr>
        <w:tc>
          <w:tcPr>
            <w:tcW w:type="dxa" w:w="4320"/>
            <w:vAlign w:val="top"/>
            <w:shd w:fill="F8FAF7"/>
          </w:tcPr>
          <w:p>
            <w:r/>
            <w:r>
              <w:rPr>
                <w:b w:val="0"/>
                <w:color w:val="263238"/>
                <w:sz w:val="17"/>
              </w:rPr>
              <w:t>Who it is for</w:t>
            </w:r>
          </w:p>
        </w:tc>
        <w:tc>
          <w:tcPr>
            <w:tcW w:type="dxa" w:w="4320"/>
            <w:vAlign w:val="top"/>
            <w:shd w:fill="F8FAF7"/>
          </w:tcPr>
          <w:p>
            <w:r/>
            <w:r>
              <w:rPr>
                <w:b w:val="0"/>
                <w:color w:val="263238"/>
                <w:sz w:val="17"/>
              </w:rPr>
              <w:t>Beginner Medical VA learners, career shifters, RCM support applicants, and direct-client outreach beginners.</w:t>
            </w:r>
          </w:p>
        </w:tc>
      </w:tr>
      <w:tr>
        <w:tc>
          <w:tcPr>
            <w:tcW w:type="dxa" w:w="4320"/>
            <w:vAlign w:val="top"/>
            <w:shd w:fill="FFFFFF"/>
          </w:tcPr>
          <w:p>
            <w:r/>
            <w:r>
              <w:rPr>
                <w:b w:val="0"/>
                <w:color w:val="263238"/>
                <w:sz w:val="17"/>
              </w:rPr>
              <w:t>When to use it</w:t>
            </w:r>
          </w:p>
        </w:tc>
        <w:tc>
          <w:tcPr>
            <w:tcW w:type="dxa" w:w="4320"/>
            <w:vAlign w:val="top"/>
            <w:shd w:fill="FFFFFF"/>
          </w:tcPr>
          <w:p>
            <w:r/>
            <w:r>
              <w:rPr>
                <w:b w:val="0"/>
                <w:color w:val="263238"/>
                <w:sz w:val="17"/>
              </w:rPr>
              <w:t>Use when building a starter portfolio for applications, interviews, discovery calls, or profile links.</w:t>
            </w:r>
          </w:p>
        </w:tc>
      </w:tr>
      <w:tr>
        <w:tc>
          <w:tcPr>
            <w:tcW w:type="dxa" w:w="4320"/>
            <w:vAlign w:val="top"/>
            <w:shd w:fill="F8FAF7"/>
          </w:tcPr>
          <w:p>
            <w:r/>
            <w:r>
              <w:rPr>
                <w:b w:val="0"/>
                <w:color w:val="263238"/>
                <w:sz w:val="17"/>
              </w:rPr>
              <w:t>Last reviewed</w:t>
            </w:r>
          </w:p>
        </w:tc>
        <w:tc>
          <w:tcPr>
            <w:tcW w:type="dxa" w:w="4320"/>
            <w:vAlign w:val="top"/>
            <w:shd w:fill="F8FAF7"/>
          </w:tcPr>
          <w:p>
            <w:r/>
            <w:r>
              <w:rPr>
                <w:b w:val="0"/>
                <w:color w:val="263238"/>
                <w:sz w:val="17"/>
              </w:rPr>
              <w:t>July 2026</w:t>
            </w:r>
          </w:p>
        </w:tc>
      </w:tr>
    </w:tbl>
    <w:p/>
    <w:p>
      <w:pPr>
        <w:pStyle w:val="Heading1"/>
      </w:pPr>
      <w:r>
        <w:t>Purpose</w:t>
      </w:r>
    </w:p>
    <w:p>
      <w:r>
        <w:t>Use this as a structure for a small proof-of-skill portfolio. Replace all examples with your own fictional practice samples and truthful background.</w:t>
      </w:r>
    </w:p>
    <w:p>
      <w:pPr>
        <w:pStyle w:val="Heading1"/>
      </w:pPr>
      <w:r>
        <w:t>How to use this resource</w:t>
      </w:r>
    </w:p>
    <w:p>
      <w:pPr>
        <w:pStyle w:val="ListBullet"/>
      </w:pPr>
      <w:r>
        <w:t>Read the truthful-use reminder before editing.</w:t>
      </w:r>
    </w:p>
    <w:p>
      <w:pPr>
        <w:pStyle w:val="ListBullet"/>
      </w:pPr>
      <w:r>
        <w:t>Replace bracketed fields with your own accurate information.</w:t>
      </w:r>
    </w:p>
    <w:p>
      <w:pPr>
        <w:pStyle w:val="ListBullet"/>
      </w:pPr>
      <w:r>
        <w:t>Use fictional practice examples only. Do not paste real patient, payer, claim, clinic, or login information.</w:t>
      </w:r>
    </w:p>
    <w:p>
      <w:pPr>
        <w:pStyle w:val="ListBullet"/>
      </w:pPr>
      <w:r>
        <w:t>Proofread and verify role requirements before sending to an employer or client.</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Portfolio safety reminder</w:t>
            </w:r>
            <w:r>
              <w:rPr>
                <w:sz w:val="17"/>
              </w:rPr>
              <w:br/>
              <w:t>A portfolio should prove workflow thinking without exposing real patient, employer, clinic, payer, account, screenshot, or login information.</w:t>
            </w:r>
          </w:p>
        </w:tc>
      </w:tr>
    </w:tbl>
    <w:p/>
    <w:p>
      <w:pPr>
        <w:pStyle w:val="Heading1"/>
      </w:pPr>
      <w:r>
        <w:t>Editable portfolio structure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Portfolio Page</w:t>
            </w:r>
          </w:p>
        </w:tc>
        <w:tc>
          <w:tcPr>
            <w:tcW w:type="dxa" w:w="4320"/>
            <w:vAlign w:val="top"/>
            <w:shd w:fill="008C95"/>
          </w:tcPr>
          <w:p>
            <w:r/>
            <w:r>
              <w:rPr>
                <w:b/>
                <w:color w:val="FFFFFF"/>
                <w:sz w:val="17"/>
              </w:rPr>
              <w:t>What to include</w:t>
            </w:r>
          </w:p>
        </w:tc>
      </w:tr>
      <w:tr>
        <w:tc>
          <w:tcPr>
            <w:tcW w:type="dxa" w:w="4320"/>
            <w:vAlign w:val="top"/>
            <w:shd w:fill="F8FAF7"/>
          </w:tcPr>
          <w:p>
            <w:r/>
            <w:r>
              <w:rPr>
                <w:b w:val="0"/>
                <w:color w:val="263238"/>
                <w:sz w:val="17"/>
              </w:rPr>
              <w:t>Cover page</w:t>
            </w:r>
          </w:p>
        </w:tc>
        <w:tc>
          <w:tcPr>
            <w:tcW w:type="dxa" w:w="4320"/>
            <w:vAlign w:val="top"/>
            <w:shd w:fill="F8FAF7"/>
          </w:tcPr>
          <w:p>
            <w:r/>
            <w:r>
              <w:rPr>
                <w:b w:val="0"/>
                <w:color w:val="263238"/>
                <w:sz w:val="17"/>
              </w:rPr>
              <w:t>[FULL NAME], target role, contact details, LinkedIn/portfolio link, short privacy note.</w:t>
            </w:r>
          </w:p>
        </w:tc>
      </w:tr>
      <w:tr>
        <w:tc>
          <w:tcPr>
            <w:tcW w:type="dxa" w:w="4320"/>
            <w:vAlign w:val="top"/>
            <w:shd w:fill="FFFFFF"/>
          </w:tcPr>
          <w:p>
            <w:r/>
            <w:r>
              <w:rPr>
                <w:b w:val="0"/>
                <w:color w:val="263238"/>
                <w:sz w:val="17"/>
              </w:rPr>
              <w:t>About / target role</w:t>
            </w:r>
          </w:p>
        </w:tc>
        <w:tc>
          <w:tcPr>
            <w:tcW w:type="dxa" w:w="4320"/>
            <w:vAlign w:val="top"/>
            <w:shd w:fill="FFFFFF"/>
          </w:tcPr>
          <w:p>
            <w:r/>
            <w:r>
              <w:rPr>
                <w:b w:val="0"/>
                <w:color w:val="263238"/>
                <w:sz w:val="17"/>
              </w:rPr>
              <w:t>2-4 lines about your truthful background and target workflows.</w:t>
            </w:r>
          </w:p>
        </w:tc>
      </w:tr>
      <w:tr>
        <w:tc>
          <w:tcPr>
            <w:tcW w:type="dxa" w:w="4320"/>
            <w:vAlign w:val="top"/>
            <w:shd w:fill="F8FAF7"/>
          </w:tcPr>
          <w:p>
            <w:r/>
            <w:r>
              <w:rPr>
                <w:b w:val="0"/>
                <w:color w:val="263238"/>
                <w:sz w:val="17"/>
              </w:rPr>
              <w:t>Skill snapshot</w:t>
            </w:r>
          </w:p>
        </w:tc>
        <w:tc>
          <w:tcPr>
            <w:tcW w:type="dxa" w:w="4320"/>
            <w:vAlign w:val="top"/>
            <w:shd w:fill="F8FAF7"/>
          </w:tcPr>
          <w:p>
            <w:r/>
            <w:r>
              <w:rPr>
                <w:b w:val="0"/>
                <w:color w:val="263238"/>
                <w:sz w:val="17"/>
              </w:rPr>
              <w:t>Checklist of real skills and learning areas: scheduling, documentation, eligibility awareness, AR support, spreadsheets, privacy awareness.</w:t>
            </w:r>
          </w:p>
        </w:tc>
      </w:tr>
      <w:tr>
        <w:tc>
          <w:tcPr>
            <w:tcW w:type="dxa" w:w="4320"/>
            <w:vAlign w:val="top"/>
            <w:shd w:fill="FFFFFF"/>
          </w:tcPr>
          <w:p>
            <w:r/>
            <w:r>
              <w:rPr>
                <w:b w:val="0"/>
                <w:color w:val="263238"/>
                <w:sz w:val="17"/>
              </w:rPr>
              <w:t>Mock workflow sample 1</w:t>
            </w:r>
          </w:p>
        </w:tc>
        <w:tc>
          <w:tcPr>
            <w:tcW w:type="dxa" w:w="4320"/>
            <w:vAlign w:val="top"/>
            <w:shd w:fill="FFFFFF"/>
          </w:tcPr>
          <w:p>
            <w:r/>
            <w:r>
              <w:rPr>
                <w:b w:val="0"/>
                <w:color w:val="263238"/>
                <w:sz w:val="17"/>
              </w:rPr>
              <w:t>Fictional scheduling call note or intake checklist.</w:t>
            </w:r>
          </w:p>
        </w:tc>
      </w:tr>
      <w:tr>
        <w:tc>
          <w:tcPr>
            <w:tcW w:type="dxa" w:w="4320"/>
            <w:vAlign w:val="top"/>
            <w:shd w:fill="F8FAF7"/>
          </w:tcPr>
          <w:p>
            <w:r/>
            <w:r>
              <w:rPr>
                <w:b w:val="0"/>
                <w:color w:val="263238"/>
                <w:sz w:val="17"/>
              </w:rPr>
              <w:t>Mock workflow sample 2</w:t>
            </w:r>
          </w:p>
        </w:tc>
        <w:tc>
          <w:tcPr>
            <w:tcW w:type="dxa" w:w="4320"/>
            <w:vAlign w:val="top"/>
            <w:shd w:fill="F8FAF7"/>
          </w:tcPr>
          <w:p>
            <w:r/>
            <w:r>
              <w:rPr>
                <w:b w:val="0"/>
                <w:color w:val="263238"/>
                <w:sz w:val="17"/>
              </w:rPr>
              <w:t>Fictional eligibility verification checklist or note.</w:t>
            </w:r>
          </w:p>
        </w:tc>
      </w:tr>
      <w:tr>
        <w:tc>
          <w:tcPr>
            <w:tcW w:type="dxa" w:w="4320"/>
            <w:vAlign w:val="top"/>
            <w:shd w:fill="FFFFFF"/>
          </w:tcPr>
          <w:p>
            <w:r/>
            <w:r>
              <w:rPr>
                <w:b w:val="0"/>
                <w:color w:val="263238"/>
                <w:sz w:val="17"/>
              </w:rPr>
              <w:t>Mock workflow sample 3</w:t>
            </w:r>
          </w:p>
        </w:tc>
        <w:tc>
          <w:tcPr>
            <w:tcW w:type="dxa" w:w="4320"/>
            <w:vAlign w:val="top"/>
            <w:shd w:fill="FFFFFF"/>
          </w:tcPr>
          <w:p>
            <w:r/>
            <w:r>
              <w:rPr>
                <w:b w:val="0"/>
                <w:color w:val="263238"/>
                <w:sz w:val="17"/>
              </w:rPr>
              <w:t>Fictional AR follow-up note or claim-status tracker row.</w:t>
            </w:r>
          </w:p>
        </w:tc>
      </w:tr>
      <w:tr>
        <w:tc>
          <w:tcPr>
            <w:tcW w:type="dxa" w:w="4320"/>
            <w:vAlign w:val="top"/>
            <w:shd w:fill="F8FAF7"/>
          </w:tcPr>
          <w:p>
            <w:r/>
            <w:r>
              <w:rPr>
                <w:b w:val="0"/>
                <w:color w:val="263238"/>
                <w:sz w:val="17"/>
              </w:rPr>
              <w:t>30/60/90 plan</w:t>
            </w:r>
          </w:p>
        </w:tc>
        <w:tc>
          <w:tcPr>
            <w:tcW w:type="dxa" w:w="4320"/>
            <w:vAlign w:val="top"/>
            <w:shd w:fill="F8FAF7"/>
          </w:tcPr>
          <w:p>
            <w:r/>
            <w:r>
              <w:rPr>
                <w:b w:val="0"/>
                <w:color w:val="263238"/>
                <w:sz w:val="17"/>
              </w:rPr>
              <w:t>How you would learn SOPs, improve accuracy, and report progress if hired.</w:t>
            </w:r>
          </w:p>
        </w:tc>
      </w:tr>
      <w:tr>
        <w:tc>
          <w:tcPr>
            <w:tcW w:type="dxa" w:w="4320"/>
            <w:vAlign w:val="top"/>
            <w:shd w:fill="FFFFFF"/>
          </w:tcPr>
          <w:p>
            <w:r/>
            <w:r>
              <w:rPr>
                <w:b w:val="0"/>
                <w:color w:val="263238"/>
                <w:sz w:val="17"/>
              </w:rPr>
              <w:t>Closing page</w:t>
            </w:r>
          </w:p>
        </w:tc>
        <w:tc>
          <w:tcPr>
            <w:tcW w:type="dxa" w:w="4320"/>
            <w:vAlign w:val="top"/>
            <w:shd w:fill="FFFFFF"/>
          </w:tcPr>
          <w:p>
            <w:r/>
            <w:r>
              <w:rPr>
                <w:b w:val="0"/>
                <w:color w:val="263238"/>
                <w:sz w:val="17"/>
              </w:rPr>
              <w:t>Availability, target role, and reminder that samples use fictional data only.</w:t>
            </w:r>
          </w:p>
        </w:tc>
      </w:tr>
    </w:tbl>
    <w:p/>
    <w:p>
      <w:pPr>
        <w:pStyle w:val="Heading1"/>
      </w:pPr>
      <w:r>
        <w:t>Sample pages with fictional data only</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Fictional sample type</w:t>
            </w:r>
          </w:p>
        </w:tc>
        <w:tc>
          <w:tcPr>
            <w:tcW w:type="dxa" w:w="4320"/>
            <w:vAlign w:val="top"/>
            <w:shd w:fill="008C95"/>
          </w:tcPr>
          <w:p>
            <w:r/>
            <w:r>
              <w:rPr>
                <w:b/>
                <w:color w:val="FFFFFF"/>
                <w:sz w:val="17"/>
              </w:rPr>
              <w:t>Example content</w:t>
            </w:r>
          </w:p>
        </w:tc>
      </w:tr>
      <w:tr>
        <w:tc>
          <w:tcPr>
            <w:tcW w:type="dxa" w:w="4320"/>
            <w:vAlign w:val="top"/>
            <w:shd w:fill="F8FAF7"/>
          </w:tcPr>
          <w:p>
            <w:r/>
            <w:r>
              <w:rPr>
                <w:b w:val="0"/>
                <w:color w:val="263238"/>
                <w:sz w:val="17"/>
              </w:rPr>
              <w:t>Mock eligibility note</w:t>
            </w:r>
          </w:p>
        </w:tc>
        <w:tc>
          <w:tcPr>
            <w:tcW w:type="dxa" w:w="4320"/>
            <w:vAlign w:val="top"/>
            <w:shd w:fill="F8FAF7"/>
          </w:tcPr>
          <w:p>
            <w:r/>
            <w:r>
              <w:rPr>
                <w:b w:val="0"/>
                <w:color w:val="263238"/>
                <w:sz w:val="17"/>
              </w:rPr>
              <w:t>Fictional Patient A, fictional plan, fictional clinic. Verified active coverage, copay field, deductible field, network field, referral/auth flag, source, date checked, and next step.</w:t>
            </w:r>
          </w:p>
        </w:tc>
      </w:tr>
      <w:tr>
        <w:tc>
          <w:tcPr>
            <w:tcW w:type="dxa" w:w="4320"/>
            <w:vAlign w:val="top"/>
            <w:shd w:fill="FFFFFF"/>
          </w:tcPr>
          <w:p>
            <w:r/>
            <w:r>
              <w:rPr>
                <w:b w:val="0"/>
                <w:color w:val="263238"/>
                <w:sz w:val="17"/>
              </w:rPr>
              <w:t>Mock AR follow-up note</w:t>
            </w:r>
          </w:p>
        </w:tc>
        <w:tc>
          <w:tcPr>
            <w:tcW w:type="dxa" w:w="4320"/>
            <w:vAlign w:val="top"/>
            <w:shd w:fill="FFFFFF"/>
          </w:tcPr>
          <w:p>
            <w:r/>
            <w:r>
              <w:rPr>
                <w:b w:val="0"/>
                <w:color w:val="263238"/>
                <w:sz w:val="17"/>
              </w:rPr>
              <w:t>Fictional Claim A, aging bucket, payer response, reference field, action taken, next follow-up date, and escalation note.</w:t>
            </w:r>
          </w:p>
        </w:tc>
      </w:tr>
      <w:tr>
        <w:tc>
          <w:tcPr>
            <w:tcW w:type="dxa" w:w="4320"/>
            <w:vAlign w:val="top"/>
            <w:shd w:fill="F8FAF7"/>
          </w:tcPr>
          <w:p>
            <w:r/>
            <w:r>
              <w:rPr>
                <w:b w:val="0"/>
                <w:color w:val="263238"/>
                <w:sz w:val="17"/>
              </w:rPr>
              <w:t>Mock schedule note</w:t>
            </w:r>
          </w:p>
        </w:tc>
        <w:tc>
          <w:tcPr>
            <w:tcW w:type="dxa" w:w="4320"/>
            <w:vAlign w:val="top"/>
            <w:shd w:fill="F8FAF7"/>
          </w:tcPr>
          <w:p>
            <w:r/>
            <w:r>
              <w:rPr>
                <w:b w:val="0"/>
                <w:color w:val="263238"/>
                <w:sz w:val="17"/>
              </w:rPr>
              <w:t>Fictional caller requested appointment. Confirmed service type, preferred date/time, provider preference, reminder method, and escalation need if urgent.</w:t>
            </w:r>
          </w:p>
        </w:tc>
      </w:tr>
    </w:tbl>
    <w:p/>
    <w:p>
      <w:pPr>
        <w:pStyle w:val="Heading1"/>
      </w:pPr>
      <w:r>
        <w:t>Editable about section</w:t>
      </w:r>
    </w:p>
    <w:p>
      <w:r>
        <w:t>[FULL NAME] is a [TARGET ROLE] applicant with [TRUTHFUL BACKGROUND]. This portfolio shows beginner healthcare admin workflow practice using fictional examples only. Focus areas include [WORKFLOW 1], [WORKFLOW 2], and [WORKFLOW 3].</w:t>
      </w:r>
    </w:p>
    <w:p>
      <w:pPr>
        <w:pStyle w:val="Heading1"/>
      </w:pPr>
      <w:r>
        <w:t>30/60/90 day plan template</w:t>
      </w:r>
    </w:p>
    <w:tbl>
      <w:tblPr>
        <w:tblStyle w:val="TableGrid"/>
        <w:tblW w:type="auto" w:w="0"/>
        <w:jc w:val="center"/>
        <w:tblLook w:firstColumn="1" w:firstRow="1" w:lastColumn="0" w:lastRow="0" w:noHBand="0" w:noVBand="1" w:val="04A0"/>
      </w:tblPr>
      <w:tblGrid>
        <w:gridCol w:w="4320"/>
        <w:gridCol w:w="4320"/>
      </w:tblGrid>
      <w:tr>
        <w:tc>
          <w:tcPr>
            <w:tcW w:type="dxa" w:w="4320"/>
            <w:vAlign w:val="top"/>
            <w:shd w:fill="008C95"/>
          </w:tcPr>
          <w:p>
            <w:r/>
            <w:r>
              <w:rPr>
                <w:b/>
                <w:color w:val="FFFFFF"/>
                <w:sz w:val="17"/>
              </w:rPr>
              <w:t>Period</w:t>
            </w:r>
          </w:p>
        </w:tc>
        <w:tc>
          <w:tcPr>
            <w:tcW w:type="dxa" w:w="4320"/>
            <w:vAlign w:val="top"/>
            <w:shd w:fill="008C95"/>
          </w:tcPr>
          <w:p>
            <w:r/>
            <w:r>
              <w:rPr>
                <w:b/>
                <w:color w:val="FFFFFF"/>
                <w:sz w:val="17"/>
              </w:rPr>
              <w:t>Learning and work focus</w:t>
            </w:r>
          </w:p>
        </w:tc>
      </w:tr>
      <w:tr>
        <w:tc>
          <w:tcPr>
            <w:tcW w:type="dxa" w:w="4320"/>
            <w:vAlign w:val="top"/>
            <w:shd w:fill="F8FAF7"/>
          </w:tcPr>
          <w:p>
            <w:r/>
            <w:r>
              <w:rPr>
                <w:b w:val="0"/>
                <w:color w:val="263238"/>
                <w:sz w:val="17"/>
              </w:rPr>
              <w:t>First 30 days</w:t>
            </w:r>
          </w:p>
        </w:tc>
        <w:tc>
          <w:tcPr>
            <w:tcW w:type="dxa" w:w="4320"/>
            <w:vAlign w:val="top"/>
            <w:shd w:fill="F8FAF7"/>
          </w:tcPr>
          <w:p>
            <w:r/>
            <w:r>
              <w:rPr>
                <w:b w:val="0"/>
                <w:color w:val="263238"/>
                <w:sz w:val="17"/>
              </w:rPr>
              <w:t>Learn client SOPs, tools, queues, privacy rules, and note standards. Ask focused questions and document process steps.</w:t>
            </w:r>
          </w:p>
        </w:tc>
      </w:tr>
      <w:tr>
        <w:tc>
          <w:tcPr>
            <w:tcW w:type="dxa" w:w="4320"/>
            <w:vAlign w:val="top"/>
            <w:shd w:fill="FFFFFF"/>
          </w:tcPr>
          <w:p>
            <w:r/>
            <w:r>
              <w:rPr>
                <w:b w:val="0"/>
                <w:color w:val="263238"/>
                <w:sz w:val="17"/>
              </w:rPr>
              <w:t>Days 31-60</w:t>
            </w:r>
          </w:p>
        </w:tc>
        <w:tc>
          <w:tcPr>
            <w:tcW w:type="dxa" w:w="4320"/>
            <w:vAlign w:val="top"/>
            <w:shd w:fill="FFFFFF"/>
          </w:tcPr>
          <w:p>
            <w:r/>
            <w:r>
              <w:rPr>
                <w:b w:val="0"/>
                <w:color w:val="263238"/>
                <w:sz w:val="17"/>
              </w:rPr>
              <w:t>Improve speed while maintaining accuracy. Track repeated issues and use QA feedback.</w:t>
            </w:r>
          </w:p>
        </w:tc>
      </w:tr>
      <w:tr>
        <w:tc>
          <w:tcPr>
            <w:tcW w:type="dxa" w:w="4320"/>
            <w:vAlign w:val="top"/>
            <w:shd w:fill="F8FAF7"/>
          </w:tcPr>
          <w:p>
            <w:r/>
            <w:r>
              <w:rPr>
                <w:b w:val="0"/>
                <w:color w:val="263238"/>
                <w:sz w:val="17"/>
              </w:rPr>
              <w:t>Days 61-90</w:t>
            </w:r>
          </w:p>
        </w:tc>
        <w:tc>
          <w:tcPr>
            <w:tcW w:type="dxa" w:w="4320"/>
            <w:vAlign w:val="top"/>
            <w:shd w:fill="F8FAF7"/>
          </w:tcPr>
          <w:p>
            <w:r/>
            <w:r>
              <w:rPr>
                <w:b w:val="0"/>
                <w:color w:val="263238"/>
                <w:sz w:val="17"/>
              </w:rPr>
              <w:t>Handle larger task batches, report blockers clearly, and suggest safe workflow improvements.</w:t>
            </w:r>
          </w:p>
        </w:tc>
      </w:tr>
    </w:tbl>
    <w:p/>
    <w:p>
      <w:pPr>
        <w:pStyle w:val="Heading1"/>
      </w:pPr>
      <w:r>
        <w:t>Common Beginner Mistakes</w:t>
      </w:r>
    </w:p>
    <w:p>
      <w:pPr>
        <w:pStyle w:val="ListBullet"/>
      </w:pPr>
      <w:r>
        <w:t>Adding skills, tools, certifications, or experience that are not truthful.</w:t>
      </w:r>
    </w:p>
    <w:p>
      <w:pPr>
        <w:pStyle w:val="ListBullet"/>
      </w:pPr>
      <w:r>
        <w:t>Copying the template without customizing it to the target role.</w:t>
      </w:r>
    </w:p>
    <w:p>
      <w:pPr>
        <w:pStyle w:val="ListBullet"/>
      </w:pPr>
      <w:r>
        <w:t>Mixing fictional practice examples with real work history.</w:t>
      </w:r>
    </w:p>
    <w:p>
      <w:pPr>
        <w:pStyle w:val="ListBullet"/>
      </w:pPr>
      <w:r>
        <w:t>Sharing confidential employer, client, payer, or patient information.</w:t>
      </w:r>
    </w:p>
    <w:p>
      <w:pPr>
        <w:pStyle w:val="ListBullet"/>
      </w:pPr>
      <w:r>
        <w:t>Sending the document without proofreading role, dates, links, and contact details.</w:t>
      </w:r>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Truthful-use reminder</w:t>
            </w:r>
            <w:r>
              <w:rPr>
                <w:sz w:val="17"/>
              </w:rPr>
              <w:br/>
              <w:t>Only claim experience, tools, metrics, certifications, and training that you can honestly explain or prove. Separate real experience from mock practice projects.</w:t>
            </w:r>
          </w:p>
        </w:tc>
      </w:tr>
    </w:tbl>
    <w:p/>
    <w:tbl>
      <w:tblPr>
        <w:tblStyle w:val="TableGrid"/>
        <w:tblW w:type="auto" w:w="0"/>
        <w:tblLook w:firstColumn="1" w:firstRow="1" w:lastColumn="0" w:lastRow="0" w:noHBand="0" w:noVBand="1" w:val="04A0"/>
      </w:tblPr>
      <w:tblGrid>
        <w:gridCol w:w="8640"/>
      </w:tblGrid>
      <w:tr>
        <w:tc>
          <w:tcPr>
            <w:tcW w:type="dxa" w:w="8640"/>
            <w:shd w:fill="CFF5E7"/>
          </w:tcPr>
          <w:p>
            <w:r/>
            <w:r>
              <w:rPr>
                <w:b/>
                <w:color w:val="0B1F3A"/>
                <w:sz w:val="18"/>
              </w:rPr>
              <w:t>No-PHI Practice Reminder</w:t>
            </w:r>
            <w:r>
              <w:rPr>
                <w:sz w:val="17"/>
              </w:rPr>
              <w:br/>
              <w:t>Do not use or enter real patient names, dates of birth, insurance IDs, member IDs, claim numbers, medical record numbers, addresses, phone numbers, diagnoses, treatment details, login details, or protected health information. Use fictional data only when practicing.</w:t>
            </w:r>
          </w:p>
        </w:tc>
      </w:tr>
    </w:tbl>
    <w:p/>
    <w:tbl>
      <w:tblPr>
        <w:tblStyle w:val="TableGrid"/>
        <w:tblW w:type="auto" w:w="0"/>
        <w:tblLook w:firstColumn="1" w:firstRow="1" w:lastColumn="0" w:lastRow="0" w:noHBand="0" w:noVBand="1" w:val="04A0"/>
      </w:tblPr>
      <w:tblGrid>
        <w:gridCol w:w="8640"/>
      </w:tblGrid>
      <w:tr>
        <w:tc>
          <w:tcPr>
            <w:tcW w:type="dxa" w:w="8640"/>
            <w:shd w:fill="EAF7F5"/>
          </w:tcPr>
          <w:p>
            <w:r/>
            <w:r>
              <w:rPr>
                <w:b/>
                <w:color w:val="0B1F3A"/>
                <w:sz w:val="18"/>
              </w:rPr>
              <w:t>Educational Use Only</w:t>
            </w:r>
            <w:r>
              <w:rPr>
                <w:sz w:val="17"/>
              </w:rPr>
              <w:b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tc>
      </w:tr>
    </w:tbl>
    <w:p/>
    <w:p>
      <w:pPr>
        <w:pStyle w:val="Heading1"/>
      </w:pPr>
      <w:r>
        <w:t>Source/review note</w:t>
      </w:r>
    </w:p>
    <w:p>
      <w:r>
        <w:t>This resource is for educational and business-planning use only. It does not guarantee employment, client acquisition, income, or contract approval. Keep all claims truthful and verify privacy, business, email, and client-contract requirements before use.</w:t>
      </w:r>
    </w:p>
    <w:p>
      <w:pPr>
        <w:pStyle w:val="Heading1"/>
      </w:pPr>
      <w:r>
        <w:t>Recommended Next Step</w:t>
      </w:r>
    </w:p>
    <w:p>
      <w:r>
        <w:t>After completing this resource, review the Application Tracker and Interview Q&amp;A Starter Sheet so your career materials stay organized and truthful.</w:t>
      </w:r>
    </w:p>
    <w:sectPr w:rsidR="00FC693F" w:rsidRPr="0006063C" w:rsidSect="00034616">
      <w:footerReference w:type="default" r:id="rId9"/>
      <w:pgSz w:w="12240" w:h="15840"/>
      <w:pgMar w:top="864" w:right="1008" w:bottom="93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color w:val="0B1F3A"/>
        <w:sz w:val="14"/>
      </w:rPr>
      <w:t>RisenFynix | MVA Simplified - Healthcare VA Learning Hub | Educational use only. Do not use real PHI. Verify current requirements with official sources, employer policy, payer rules, and client instructions.</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b/>
      <w:bCs/>
      <w:color w:val="0B1F3A"/>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b/>
      <w:bCs/>
      <w:color w:val="008C95"/>
      <w:sz w:val="22"/>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Beginner Medical VA Portfolio Sample</dc:title>
  <dc:subject>Resume Tool / Portfolio Sample</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