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rPr>
          <w:rFonts w:ascii="Arial" w:hAnsi="Arial"/>
          <w:b/>
          <w:color w:val="0F766E"/>
          <w:sz w:val="20"/>
        </w:rPr>
        <w:t>RisenFynix / MVA Simplified</w:t>
      </w:r>
    </w:p>
    <w:p>
      <w:pPr>
        <w:pStyle w:val="Heading1"/>
      </w:pPr>
      <w:r>
        <w:rPr>
          <w:rFonts w:ascii="Arial" w:hAnsi="Arial"/>
        </w:rPr>
        <w:t>Claim Follow-Up Notes Template</w:t>
      </w:r>
    </w:p>
    <w:p>
      <w:r>
        <w:rPr>
          <w:rFonts w:ascii="Arial" w:hAnsi="Arial"/>
          <w:color w:val="4B5563"/>
          <w:sz w:val="18"/>
        </w:rPr>
        <w:t>Healthcare VA Learning Hub | Learn US Healthcare Admin One Workflow at a Time.</w:t>
      </w:r>
    </w:p>
    <w:tbl>
      <w:tblPr>
        <w:tblStyle w:val="TableGrid"/>
        <w:tblW w:type="auto" w:w="0"/>
        <w:jc w:val="center"/>
        <w:tblLook w:firstColumn="1" w:firstRow="1" w:lastColumn="0" w:lastRow="0" w:noHBand="0" w:noVBand="1" w:val="04A0"/>
      </w:tblPr>
      <w:tblGrid>
        <w:gridCol w:w="5184"/>
        <w:gridCol w:w="5184"/>
      </w:tblGrid>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Resource type</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Template</w:t>
            </w:r>
          </w:p>
        </w:tc>
      </w:tr>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Who it is for</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AR Follow-Up Specialists, Medical Billers, claims support VAs, and RCM beginners.</w:t>
            </w:r>
          </w:p>
        </w:tc>
      </w:tr>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When to use it</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Use after checking a claim status, rejection, denial, payment, underpayment, or payer response.</w:t>
            </w:r>
          </w:p>
        </w:tc>
      </w:tr>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How to use it</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Fill in bracketed fields using fictional data only. Keep real work inside approved client systems.</w:t>
            </w:r>
          </w:p>
        </w:tc>
      </w:tr>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Last reviewed</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July 2026</w:t>
            </w:r>
          </w:p>
        </w:tc>
      </w:tr>
    </w:tbl>
    <w:p>
      <w:r>
        <w:rPr>
          <w:rFonts w:ascii="Arial" w:hAnsi="Arial"/>
          <w:b/>
          <w:color w:val="0F766E"/>
        </w:rPr>
        <w:t>Core learning rule: Where does this happen? Why does it matter? What happens if it is wrong?</w:t>
      </w:r>
    </w:p>
    <w:p>
      <w:r>
        <w:rPr>
          <w:rFonts w:ascii="Arial" w:hAnsi="Arial"/>
          <w:b/>
          <w:color w:val="9A3412"/>
        </w:rPr>
        <w:t>Use bracketed editable fields and fictional data only. Do not store real PHI in this practice template.</w:t>
      </w:r>
    </w:p>
    <w:p>
      <w:pPr>
        <w:pStyle w:val="Heading2"/>
      </w:pPr>
      <w:r>
        <w:t>Purpose</w:t>
      </w:r>
    </w:p>
    <w:p>
      <w:r>
        <w:rPr>
          <w:rFonts w:ascii="Arial" w:hAnsi="Arial"/>
        </w:rPr>
        <w:t>Use this editable template to practice professional claim follow-up notes using fictional data only.</w:t>
      </w:r>
    </w:p>
    <w:p>
      <w:pPr>
        <w:pStyle w:val="Heading2"/>
      </w:pPr>
      <w:r>
        <w:t>Template text</w:t>
      </w:r>
    </w:p>
    <w:tbl>
      <w:tblPr>
        <w:tblStyle w:val="TableGrid"/>
        <w:tblW w:type="auto" w:w="0"/>
        <w:jc w:val="center"/>
        <w:tblLook w:firstColumn="1" w:firstRow="1" w:lastColumn="0" w:lastRow="0" w:noHBand="0" w:noVBand="1" w:val="04A0"/>
      </w:tblPr>
      <w:tblGrid>
        <w:gridCol w:w="5184"/>
        <w:gridCol w:w="5184"/>
      </w:tblGrid>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0B1F33"/>
          </w:tcPr>
          <w:p>
            <w:r>
              <w:rPr>
                <w:rFonts w:ascii="Arial" w:hAnsi="Arial"/>
                <w:b/>
                <w:color w:val="FFFFFF"/>
                <w:sz w:val="16"/>
              </w:rPr>
              <w:t>Field</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0B1F33"/>
          </w:tcPr>
          <w:p>
            <w:r>
              <w:rPr>
                <w:rFonts w:ascii="Arial" w:hAnsi="Arial"/>
                <w:b/>
                <w:color w:val="FFFFFF"/>
                <w:sz w:val="16"/>
              </w:rPr>
              <w:t>Editable practice text</w:t>
            </w:r>
          </w:p>
        </w:tc>
      </w:tr>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Date/time</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[EDIT THIS PART]</w:t>
            </w:r>
          </w:p>
        </w:tc>
      </w:tr>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Account or claim label</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[FICTIONAL EXAMPLE ONLY] FIC-CLM-001</w:t>
            </w:r>
          </w:p>
        </w:tc>
      </w:tr>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Source checked</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[PAYER PORTAL / CLEARINGHOUSE / PM SYSTEM / EOB / ERA / PHONE]</w:t>
            </w:r>
          </w:p>
        </w:tc>
      </w:tr>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Current status</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[PENDING / REJECTED / DENIED / PAID / UNDERPAID / NOT ON FILE / OTHER]</w:t>
            </w:r>
          </w:p>
        </w:tc>
      </w:tr>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Reason or findings</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[EDIT THIS PART]</w:t>
            </w:r>
          </w:p>
        </w:tc>
      </w:tr>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Action taken</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[EDIT THIS PART]</w:t>
            </w:r>
          </w:p>
        </w:tc>
      </w:tr>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Proof/reference</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[FICTIONAL REFERENCE ONLY]</w:t>
            </w:r>
          </w:p>
        </w:tc>
      </w:tr>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Next action / owner</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tcPr>
          <w:p>
            <w:r>
              <w:rPr>
                <w:rFonts w:ascii="Arial" w:hAnsi="Arial"/>
                <w:sz w:val="16"/>
              </w:rPr>
              <w:t>[EDIT THIS PART]</w:t>
            </w:r>
          </w:p>
        </w:tc>
      </w:tr>
      <w:tr>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Follow-up date</w:t>
            </w:r>
          </w:p>
        </w:tc>
        <w:tc>
          <w:tcPr>
            <w:tcW w:type="dxa" w:w="5184"/>
            <w:vAlign w:val="top"/>
            <w:tcBorders>
              <w:top w:val="single" w:sz="4" w:space="0" w:color="B7D8D0"/>
              <w:left w:val="single" w:sz="4" w:space="0" w:color="B7D8D0"/>
              <w:bottom w:val="single" w:sz="4" w:space="0" w:color="B7D8D0"/>
              <w:right w:val="single" w:sz="4" w:space="0" w:color="B7D8D0"/>
              <w:insideH w:val="single" w:sz="4" w:space="0" w:color="B7D8D0"/>
              <w:insideV w:val="single" w:sz="4" w:space="0" w:color="B7D8D0"/>
            </w:tcBorders>
            <w:shd w:fill="F7FBFA"/>
          </w:tcPr>
          <w:p>
            <w:r>
              <w:rPr>
                <w:rFonts w:ascii="Arial" w:hAnsi="Arial"/>
                <w:sz w:val="16"/>
              </w:rPr>
              <w:t>[EDIT THIS PART]</w:t>
            </w:r>
          </w:p>
        </w:tc>
      </w:tr>
    </w:tbl>
    <w:p>
      <w:pPr>
        <w:pStyle w:val="Heading2"/>
      </w:pPr>
      <w:r>
        <w:t>Fictional example</w:t>
      </w:r>
    </w:p>
    <w:p>
      <w:r>
        <w:rPr>
          <w:rFonts w:ascii="Arial" w:hAnsi="Arial"/>
        </w:rPr>
        <w:t>[FICTIONAL EXAMPLE ONLY] 07/05/2026 9:40 AM. Reviewed clearinghouse status for FIC-CLM-001. Claim rejected for missing subscriber relationship. Updated practice worksheet and routed for resubmission review per simulated SOP. Next follow-up: verify acceptance in 2 business days.</w:t>
      </w:r>
    </w:p>
    <w:p>
      <w:pPr>
        <w:pStyle w:val="Heading2"/>
      </w:pPr>
      <w:r>
        <w:t>What to customize</w:t>
      </w:r>
    </w:p>
    <w:p>
      <w:pPr>
        <w:pStyle w:val="ListBullet"/>
      </w:pPr>
      <w:r>
        <w:t>Status source</w:t>
      </w:r>
    </w:p>
    <w:p>
      <w:pPr>
        <w:pStyle w:val="ListBullet"/>
      </w:pPr>
      <w:r>
        <w:t>Claim status and reason</w:t>
      </w:r>
    </w:p>
    <w:p>
      <w:pPr>
        <w:pStyle w:val="ListBullet"/>
      </w:pPr>
      <w:r>
        <w:t>Action allowed by SOP</w:t>
      </w:r>
    </w:p>
    <w:p>
      <w:pPr>
        <w:pStyle w:val="ListBullet"/>
      </w:pPr>
      <w:r>
        <w:t>Proof/reference</w:t>
      </w:r>
    </w:p>
    <w:p>
      <w:pPr>
        <w:pStyle w:val="ListBullet"/>
      </w:pPr>
      <w:r>
        <w:t>Follow-up date and owner</w:t>
      </w:r>
    </w:p>
    <w:p>
      <w:pPr>
        <w:pStyle w:val="Heading2"/>
      </w:pPr>
      <w:r>
        <w:t>What not to include</w:t>
      </w:r>
    </w:p>
    <w:p>
      <w:pPr>
        <w:pStyle w:val="ListBullet"/>
      </w:pPr>
      <w:r>
        <w:t>Real patient identifiers</w:t>
      </w:r>
    </w:p>
    <w:p>
      <w:pPr>
        <w:pStyle w:val="ListBullet"/>
      </w:pPr>
      <w:r>
        <w:t>Real claim numbers or member IDs</w:t>
      </w:r>
    </w:p>
    <w:p>
      <w:pPr>
        <w:pStyle w:val="ListBullet"/>
      </w:pPr>
      <w:r>
        <w:t>Unapproved payer portal screenshots</w:t>
      </w:r>
    </w:p>
    <w:p>
      <w:pPr>
        <w:pStyle w:val="ListBullet"/>
      </w:pPr>
      <w:r>
        <w:t>Blame language or unverified assumptions</w:t>
      </w:r>
    </w:p>
    <w:p>
      <w:pPr>
        <w:pStyle w:val="ListBullet"/>
      </w:pPr>
      <w:r>
        <w:t>Promises that payment will be made</w:t>
      </w:r>
    </w:p>
    <w:p>
      <w:pPr>
        <w:pStyle w:val="Heading2"/>
      </w:pPr>
      <w:r>
        <w:t>Common beginner mistakes</w:t>
      </w:r>
    </w:p>
    <w:p>
      <w:pPr>
        <w:pStyle w:val="ListBullet"/>
      </w:pPr>
      <w:r>
        <w:t>Writing vague notes with no source or next action.</w:t>
      </w:r>
    </w:p>
    <w:p>
      <w:pPr>
        <w:pStyle w:val="ListBullet"/>
      </w:pPr>
      <w:r>
        <w:t>Using real patient or claim identifiers in practice.</w:t>
      </w:r>
    </w:p>
    <w:p>
      <w:pPr>
        <w:pStyle w:val="ListBullet"/>
      </w:pPr>
      <w:r>
        <w:t>Documenting assumptions instead of payer/system findings.</w:t>
      </w:r>
    </w:p>
    <w:p>
      <w:pPr>
        <w:pStyle w:val="ListBullet"/>
      </w:pPr>
      <w:r>
        <w:t>Forgetting follow-up date or owner.</w:t>
      </w:r>
    </w:p>
    <w:p>
      <w:pPr>
        <w:pStyle w:val="Heading2"/>
      </w:pPr>
      <w:r>
        <w:t>Safe practice reminder</w:t>
      </w:r>
    </w:p>
    <w:p>
      <w:r>
        <w:rPr>
          <w:rFonts w:ascii="Arial" w:hAnsi="Arial"/>
        </w:rPr>
        <w:t>Practice with fictional examples only. Do not copy real work queues, payer portals, clinic notes, employer SOPs, screenshots, patient accounts, or client information into any practice file.</w:t>
      </w:r>
    </w:p>
    <w:p>
      <w:pPr>
        <w:pStyle w:val="Heading2"/>
      </w:pPr>
      <w:r>
        <w:t>No-PHI reminder</w:t>
      </w:r>
    </w:p>
    <w:p>
      <w:r>
        <w:rPr>
          <w:rFonts w:ascii="Arial" w:hAnsi="Arial"/>
        </w:rPr>
        <w:t>Do not use or enter real patient names, dates of birth, insurance IDs, member IDs, claim numbers, medical record numbers, addresses, phone numbers, diagnoses, treatment details, login details, or protected health information. Use fictional data only when practicing.</w:t>
      </w:r>
    </w:p>
    <w:p>
      <w:pPr>
        <w:pStyle w:val="Heading2"/>
      </w:pPr>
      <w:r>
        <w:t>Educational disclaimer</w:t>
      </w:r>
    </w:p>
    <w:p>
      <w:r>
        <w:rPr>
          <w:rFonts w:ascii="Arial" w:hAnsi="Arial"/>
        </w:rPr>
        <w:t>This resource is for beginner-friendly healthcare admin education only. It is not medical advice, legal advice, coding certification, payer-specific billing authority, a replacement for employer training, or a guarantee of employment. Always verify current requirements with official sources, employer policy, payer rules, client instructions, and updated guidance.</w:t>
      </w:r>
    </w:p>
    <w:p>
      <w:pPr>
        <w:pStyle w:val="Heading2"/>
      </w:pPr>
      <w:r>
        <w:t>Source/review note</w:t>
      </w:r>
    </w:p>
    <w:p>
      <w:r>
        <w:rPr>
          <w:rFonts w:ascii="Arial" w:hAnsi="Arial"/>
        </w:rPr>
        <w:t>This beginner resource explains general claim and billing workflow concepts. Requirements can vary by payer, plan, provider type, specialty, place of service, contract, and current policy.</w:t>
      </w:r>
    </w:p>
    <w:p>
      <w:pPr>
        <w:pStyle w:val="Heading2"/>
      </w:pPr>
      <w:r>
        <w:t>Recommended next step</w:t>
      </w:r>
    </w:p>
    <w:p>
      <w:r>
        <w:rPr>
          <w:rFonts w:ascii="Arial" w:hAnsi="Arial"/>
        </w:rPr>
        <w:t>Next, practice one rejected claim note and one denied claim note using fictional examples.</w:t>
      </w:r>
    </w:p>
    <w:sectPr w:rsidR="00FC693F" w:rsidRPr="0006063C" w:rsidSect="00034616">
      <w:headerReference w:type="default" r:id="rId9"/>
      <w:footerReference w:type="default" r:id="rId10"/>
      <w:pgSz w:w="12240" w:h="15840"/>
      <w:pgMar w:top="792" w:right="936" w:bottom="936" w:left="93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pPr>
    <w:r>
      <w:rPr>
        <w:rFonts w:ascii="Arial" w:hAnsi="Arial"/>
        <w:color w:val="4B5563"/>
        <w:sz w:val="14"/>
      </w:rPr>
      <w:t>RisenFynix | MVA Simplified</w:t>
      <w:br/>
      <w:t>Healthcare VA Learning Hub</w:t>
      <w:br/>
      <w:t>Educational use only. Do not use real PHI. Verify current requirements with official sources, employer policy, payer rules, and client instructions.</w:t>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right"/>
    </w:pPr>
    <w:r>
      <w:rPr>
        <w:rFonts w:ascii="Arial" w:hAnsi="Arial"/>
        <w:color w:val="4B5563"/>
        <w:sz w:val="16"/>
      </w:rPr>
      <w:t>RisenFynix / MVA Simplified | Healthcare VA Learning Hub</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sz w:val="19"/>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Arial" w:hAnsi="Arial"/>
      <w:b/>
      <w:bCs/>
      <w:color w:val="0B1F33"/>
      <w:sz w:val="40"/>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Arial" w:hAnsi="Arial"/>
      <w:b/>
      <w:bCs/>
      <w:color w:val="0B1F33"/>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Arial" w:hAnsi="Arial"/>
      <w:b/>
      <w:bCs/>
      <w:color w:val="0B1F33"/>
      <w:sz w:val="22"/>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Claim Follow-Up Notes Template</dc:title>
  <dc:subject/>
  <dc:creator>RisenFynix / MVA Simplified</dc:creator>
  <cp:keywords/>
  <dc:description>generated by python-docx</dc:description>
  <cp:lastModifiedBy/>
  <cp:revision>1</cp:revision>
  <dcterms:created xsi:type="dcterms:W3CDTF">2013-12-23T23:15:00Z</dcterms:created>
  <dcterms:modified xsi:type="dcterms:W3CDTF">2013-12-23T23:15:00Z</dcterms:modified>
  <cp:category/>
</cp:coreProperties>
</file>