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rFonts w:ascii="Aptos" w:hAnsi="Aptos"/>
          <w:b w:val="0"/>
          <w:color w:val="334155"/>
          <w:sz w:val="20"/>
        </w:rPr>
        <w:t>RisenFynix / MVA Simplified</w:t>
      </w:r>
    </w:p>
    <w:p>
      <w:pPr>
        <w:pStyle w:val="Heading2"/>
      </w:pPr>
      <w:r>
        <w:rPr>
          <w:rFonts w:ascii="Aptos" w:hAnsi="Aptos"/>
          <w:b/>
          <w:color w:val="0F766E"/>
          <w:sz w:val="26"/>
        </w:rPr>
        <w:t>Healthcare VA Learning Hub</w:t>
      </w:r>
    </w:p>
    <w:p>
      <w:pPr>
        <w:pStyle w:val="Heading1"/>
      </w:pPr>
      <w:r>
        <w:rPr>
          <w:rFonts w:ascii="Aptos" w:hAnsi="Aptos"/>
          <w:b/>
          <w:color w:val="0B1F33"/>
          <w:sz w:val="32"/>
        </w:rPr>
        <w:t>Discovery Call Script</w:t>
      </w:r>
    </w:p>
    <w:tbl>
      <w:tblPr>
        <w:tblStyle w:val="TableGrid"/>
        <w:tblW w:type="auto" w:w="0"/>
        <w:jc w:val="left"/>
        <w:tblLook w:firstColumn="1" w:firstRow="1" w:lastColumn="0" w:lastRow="0" w:noHBand="0" w:noVBand="1" w:val="04A0"/>
      </w:tblPr>
      <w:tblGrid>
        <w:gridCol w:w="5256"/>
        <w:gridCol w:w="5256"/>
      </w:tblGrid>
      <w:tr>
        <w:tc>
          <w:tcPr>
            <w:tcW w:type="dxa" w:w="5256"/>
            <w:vAlign w:val="top"/>
            <w:shd w:fill="0B1F33"/>
          </w:tcPr>
          <w:p>
            <w:r/>
            <w:r>
              <w:rPr>
                <w:rFonts w:ascii="Aptos" w:hAnsi="Aptos"/>
                <w:b/>
                <w:color w:val="FFFFFF"/>
                <w:sz w:val="17"/>
              </w:rPr>
              <w:t>Field</w:t>
            </w:r>
          </w:p>
        </w:tc>
        <w:tc>
          <w:tcPr>
            <w:tcW w:type="dxa" w:w="5256"/>
            <w:vAlign w:val="top"/>
            <w:shd w:fill="0B1F33"/>
          </w:tcPr>
          <w:p>
            <w:r/>
            <w:r>
              <w:rPr>
                <w:rFonts w:ascii="Aptos" w:hAnsi="Aptos"/>
                <w:b/>
                <w:color w:val="FFFFFF"/>
                <w:sz w:val="17"/>
              </w:rPr>
              <w:t>Details</w:t>
            </w:r>
          </w:p>
        </w:tc>
      </w:tr>
      <w:tr>
        <w:tc>
          <w:tcPr>
            <w:tcW w:type="dxa" w:w="5256"/>
            <w:vAlign w:val="top"/>
          </w:tcPr>
          <w:p>
            <w:r/>
            <w:r>
              <w:rPr>
                <w:rFonts w:ascii="Aptos" w:hAnsi="Aptos"/>
                <w:b/>
                <w:color w:val="334155"/>
                <w:sz w:val="17"/>
              </w:rPr>
              <w:t>Resource Type</w:t>
            </w:r>
          </w:p>
        </w:tc>
        <w:tc>
          <w:tcPr>
            <w:tcW w:type="dxa" w:w="5256"/>
            <w:vAlign w:val="top"/>
          </w:tcPr>
          <w:p>
            <w:r/>
            <w:r>
              <w:rPr>
                <w:rFonts w:ascii="Aptos" w:hAnsi="Aptos"/>
                <w:b w:val="0"/>
                <w:color w:val="334155"/>
                <w:sz w:val="17"/>
              </w:rPr>
              <w:t>Script</w:t>
            </w:r>
          </w:p>
        </w:tc>
      </w:tr>
      <w:tr>
        <w:tc>
          <w:tcPr>
            <w:tcW w:type="dxa" w:w="5256"/>
            <w:vAlign w:val="top"/>
          </w:tcPr>
          <w:p>
            <w:r/>
            <w:r>
              <w:rPr>
                <w:rFonts w:ascii="Aptos" w:hAnsi="Aptos"/>
                <w:b/>
                <w:color w:val="334155"/>
                <w:sz w:val="17"/>
              </w:rPr>
              <w:t>Who it is for</w:t>
            </w:r>
          </w:p>
        </w:tc>
        <w:tc>
          <w:tcPr>
            <w:tcW w:type="dxa" w:w="5256"/>
            <w:vAlign w:val="top"/>
          </w:tcPr>
          <w:p>
            <w:r/>
            <w:r>
              <w:rPr>
                <w:rFonts w:ascii="Aptos" w:hAnsi="Aptos"/>
                <w:b w:val="0"/>
                <w:color w:val="334155"/>
                <w:sz w:val="17"/>
              </w:rPr>
              <w:t>Aspiring Medical VAs, Medical Billers, AR follow-up specialists, and healthcare admin learners preparing respectful direct-client outreach.</w:t>
            </w:r>
          </w:p>
        </w:tc>
      </w:tr>
      <w:tr>
        <w:tc>
          <w:tcPr>
            <w:tcW w:type="dxa" w:w="5256"/>
            <w:vAlign w:val="top"/>
          </w:tcPr>
          <w:p>
            <w:r/>
            <w:r>
              <w:rPr>
                <w:rFonts w:ascii="Aptos" w:hAnsi="Aptos"/>
                <w:b/>
                <w:color w:val="334155"/>
                <w:sz w:val="17"/>
              </w:rPr>
              <w:t>When to use it</w:t>
            </w:r>
          </w:p>
        </w:tc>
        <w:tc>
          <w:tcPr>
            <w:tcW w:type="dxa" w:w="5256"/>
            <w:vAlign w:val="top"/>
          </w:tcPr>
          <w:p>
            <w:r/>
            <w:r>
              <w:rPr>
                <w:rFonts w:ascii="Aptos" w:hAnsi="Aptos"/>
                <w:b w:val="0"/>
                <w:color w:val="334155"/>
                <w:sz w:val="17"/>
              </w:rPr>
              <w:t>Use before a direct-client discovery call or exploratory clinic conversation.</w:t>
            </w:r>
          </w:p>
        </w:tc>
      </w:tr>
      <w:tr>
        <w:tc>
          <w:tcPr>
            <w:tcW w:type="dxa" w:w="5256"/>
            <w:vAlign w:val="top"/>
          </w:tcPr>
          <w:p>
            <w:r/>
            <w:r>
              <w:rPr>
                <w:rFonts w:ascii="Aptos" w:hAnsi="Aptos"/>
                <w:b/>
                <w:color w:val="334155"/>
                <w:sz w:val="17"/>
              </w:rPr>
              <w:t>Last reviewed</w:t>
            </w:r>
          </w:p>
        </w:tc>
        <w:tc>
          <w:tcPr>
            <w:tcW w:type="dxa" w:w="5256"/>
            <w:vAlign w:val="top"/>
          </w:tcPr>
          <w:p>
            <w:r/>
            <w:r>
              <w:rPr>
                <w:rFonts w:ascii="Aptos" w:hAnsi="Aptos"/>
                <w:b w:val="0"/>
                <w:color w:val="334155"/>
                <w:sz w:val="17"/>
              </w:rPr>
              <w:t>July 2026</w:t>
            </w:r>
          </w:p>
        </w:tc>
      </w:tr>
    </w:tbl>
    <w:p/>
    <w:p>
      <w:pPr>
        <w:pStyle w:val="Heading1"/>
      </w:pPr>
      <w:r>
        <w:rPr>
          <w:rFonts w:ascii="Aptos" w:hAnsi="Aptos"/>
          <w:b/>
          <w:color w:val="0B1F33"/>
          <w:sz w:val="32"/>
        </w:rPr>
        <w:t>Purpose</w:t>
      </w:r>
    </w:p>
    <w:p>
      <w:r>
        <w:rPr>
          <w:rFonts w:ascii="Aptos" w:hAnsi="Aptos"/>
          <w:b w:val="0"/>
          <w:color w:val="334155"/>
          <w:sz w:val="20"/>
        </w:rPr>
        <w:t>Diagnose the workflow need first, clarify scope, and suggest a small pilot only when appropriate.</w:t>
      </w:r>
    </w:p>
    <w:p>
      <w:pPr>
        <w:pStyle w:val="Heading1"/>
      </w:pPr>
      <w:r>
        <w:rPr>
          <w:rFonts w:ascii="Aptos" w:hAnsi="Aptos"/>
          <w:b/>
          <w:color w:val="0B1F33"/>
          <w:sz w:val="32"/>
        </w:rPr>
        <w:t>How to use this resource</w:t>
      </w:r>
    </w:p>
    <w:p>
      <w:r>
        <w:rPr>
          <w:rFonts w:ascii="Aptos" w:hAnsi="Aptos"/>
          <w:b w:val="0"/>
          <w:color w:val="334155"/>
          <w:sz w:val="20"/>
        </w:rPr>
        <w:t>- Read the funnel first: Niche -&gt; Location -&gt; Lead List -&gt; Warm Email -&gt; Follow-Up -&gt; Discovery Call -&gt; Pilot.</w:t>
      </w:r>
    </w:p>
    <w:p>
      <w:r>
        <w:rPr>
          <w:rFonts w:ascii="Aptos" w:hAnsi="Aptos"/>
          <w:b w:val="0"/>
          <w:color w:val="334155"/>
          <w:sz w:val="20"/>
        </w:rPr>
        <w:t>- Replace bracketed fields with truthful, specific details.</w:t>
      </w:r>
    </w:p>
    <w:p>
      <w:r>
        <w:rPr>
          <w:rFonts w:ascii="Aptos" w:hAnsi="Aptos"/>
          <w:b w:val="0"/>
          <w:color w:val="334155"/>
          <w:sz w:val="20"/>
        </w:rPr>
        <w:t>- Use only public business information. Do not scrape private data or collect patient details.</w:t>
      </w:r>
    </w:p>
    <w:p>
      <w:r>
        <w:rPr>
          <w:rFonts w:ascii="Aptos" w:hAnsi="Aptos"/>
          <w:b w:val="0"/>
          <w:color w:val="334155"/>
          <w:sz w:val="20"/>
        </w:rPr>
        <w:t>- Keep outreach respectful, low-volume, and easy to decline.</w:t>
      </w:r>
    </w:p>
    <w:p>
      <w:r>
        <w:rPr>
          <w:rFonts w:ascii="Aptos" w:hAnsi="Aptos"/>
          <w:b w:val="0"/>
          <w:color w:val="334155"/>
          <w:sz w:val="20"/>
        </w:rPr>
        <w:t>- Track status and stop contacting anyone who asks not to be contacted.</w:t>
      </w:r>
    </w:p>
    <w:p>
      <w:pPr>
        <w:pStyle w:val="Heading1"/>
      </w:pPr>
      <w:r>
        <w:rPr>
          <w:rFonts w:ascii="Aptos" w:hAnsi="Aptos"/>
          <w:b/>
          <w:color w:val="0B1F33"/>
          <w:sz w:val="32"/>
        </w:rPr>
        <w:t>Discovery Call Flow</w:t>
      </w:r>
    </w:p>
    <w:tbl>
      <w:tblPr>
        <w:tblStyle w:val="TableGrid"/>
        <w:tblW w:type="auto" w:w="0"/>
        <w:jc w:val="left"/>
        <w:tblLook w:firstColumn="1" w:firstRow="1" w:lastColumn="0" w:lastRow="0" w:noHBand="0" w:noVBand="1" w:val="04A0"/>
      </w:tblPr>
      <w:tblGrid>
        <w:gridCol w:w="3504"/>
        <w:gridCol w:w="3504"/>
        <w:gridCol w:w="3504"/>
      </w:tblGrid>
      <w:tr>
        <w:tc>
          <w:tcPr>
            <w:tcW w:type="dxa" w:w="3504"/>
            <w:vAlign w:val="top"/>
            <w:shd w:fill="0B1F33"/>
          </w:tcPr>
          <w:p>
            <w:r/>
            <w:r>
              <w:rPr>
                <w:rFonts w:ascii="Aptos" w:hAnsi="Aptos"/>
                <w:b/>
                <w:color w:val="FFFFFF"/>
                <w:sz w:val="17"/>
              </w:rPr>
              <w:t>Part</w:t>
            </w:r>
          </w:p>
        </w:tc>
        <w:tc>
          <w:tcPr>
            <w:tcW w:type="dxa" w:w="3504"/>
            <w:vAlign w:val="top"/>
            <w:shd w:fill="0B1F33"/>
          </w:tcPr>
          <w:p>
            <w:r/>
            <w:r>
              <w:rPr>
                <w:rFonts w:ascii="Aptos" w:hAnsi="Aptos"/>
                <w:b/>
                <w:color w:val="FFFFFF"/>
                <w:sz w:val="17"/>
              </w:rPr>
              <w:t>Purpose</w:t>
            </w:r>
          </w:p>
        </w:tc>
        <w:tc>
          <w:tcPr>
            <w:tcW w:type="dxa" w:w="3504"/>
            <w:vAlign w:val="top"/>
            <w:shd w:fill="0B1F33"/>
          </w:tcPr>
          <w:p>
            <w:r/>
            <w:r>
              <w:rPr>
                <w:rFonts w:ascii="Aptos" w:hAnsi="Aptos"/>
                <w:b/>
                <w:color w:val="FFFFFF"/>
                <w:sz w:val="17"/>
              </w:rPr>
              <w:t>Example language</w:t>
            </w:r>
          </w:p>
        </w:tc>
      </w:tr>
      <w:tr>
        <w:tc>
          <w:tcPr>
            <w:tcW w:type="dxa" w:w="3504"/>
            <w:vAlign w:val="top"/>
          </w:tcPr>
          <w:p>
            <w:r/>
            <w:r>
              <w:rPr>
                <w:rFonts w:ascii="Aptos" w:hAnsi="Aptos"/>
                <w:b/>
                <w:color w:val="334155"/>
                <w:sz w:val="17"/>
              </w:rPr>
              <w:t>Opening</w:t>
            </w:r>
          </w:p>
        </w:tc>
        <w:tc>
          <w:tcPr>
            <w:tcW w:type="dxa" w:w="3504"/>
            <w:vAlign w:val="top"/>
          </w:tcPr>
          <w:p>
            <w:r/>
            <w:r>
              <w:rPr>
                <w:rFonts w:ascii="Aptos" w:hAnsi="Aptos"/>
                <w:b w:val="0"/>
                <w:color w:val="334155"/>
                <w:sz w:val="17"/>
              </w:rPr>
              <w:t>Set respectful agenda</w:t>
            </w:r>
          </w:p>
        </w:tc>
        <w:tc>
          <w:tcPr>
            <w:tcW w:type="dxa" w:w="3504"/>
            <w:vAlign w:val="top"/>
          </w:tcPr>
          <w:p>
            <w:r/>
            <w:r>
              <w:rPr>
                <w:rFonts w:ascii="Aptos" w:hAnsi="Aptos"/>
                <w:b w:val="0"/>
                <w:color w:val="334155"/>
                <w:sz w:val="17"/>
              </w:rPr>
              <w:t>Thank you for taking the time. I would like to understand the workflow first, then see whether a small pilot makes sense.</w:t>
            </w:r>
          </w:p>
        </w:tc>
      </w:tr>
      <w:tr>
        <w:tc>
          <w:tcPr>
            <w:tcW w:type="dxa" w:w="3504"/>
            <w:vAlign w:val="top"/>
          </w:tcPr>
          <w:p>
            <w:r/>
            <w:r>
              <w:rPr>
                <w:rFonts w:ascii="Aptos" w:hAnsi="Aptos"/>
                <w:b/>
                <w:color w:val="334155"/>
                <w:sz w:val="17"/>
              </w:rPr>
              <w:t>Workflow questions</w:t>
            </w:r>
          </w:p>
        </w:tc>
        <w:tc>
          <w:tcPr>
            <w:tcW w:type="dxa" w:w="3504"/>
            <w:vAlign w:val="top"/>
          </w:tcPr>
          <w:p>
            <w:r/>
            <w:r>
              <w:rPr>
                <w:rFonts w:ascii="Aptos" w:hAnsi="Aptos"/>
                <w:b w:val="0"/>
                <w:color w:val="334155"/>
                <w:sz w:val="17"/>
              </w:rPr>
              <w:t>Diagnose before pitching</w:t>
            </w:r>
          </w:p>
        </w:tc>
        <w:tc>
          <w:tcPr>
            <w:tcW w:type="dxa" w:w="3504"/>
            <w:vAlign w:val="top"/>
          </w:tcPr>
          <w:p>
            <w:r/>
            <w:r>
              <w:rPr>
                <w:rFonts w:ascii="Aptos" w:hAnsi="Aptos"/>
                <w:b w:val="0"/>
                <w:color w:val="334155"/>
                <w:sz w:val="17"/>
              </w:rPr>
              <w:t>What billing or admin task is slowing the team down right now?</w:t>
            </w:r>
          </w:p>
        </w:tc>
      </w:tr>
      <w:tr>
        <w:tc>
          <w:tcPr>
            <w:tcW w:type="dxa" w:w="3504"/>
            <w:vAlign w:val="top"/>
          </w:tcPr>
          <w:p>
            <w:r/>
            <w:r>
              <w:rPr>
                <w:rFonts w:ascii="Aptos" w:hAnsi="Aptos"/>
                <w:b/>
                <w:color w:val="334155"/>
                <w:sz w:val="17"/>
              </w:rPr>
              <w:t>Scope questions</w:t>
            </w:r>
          </w:p>
        </w:tc>
        <w:tc>
          <w:tcPr>
            <w:tcW w:type="dxa" w:w="3504"/>
            <w:vAlign w:val="top"/>
          </w:tcPr>
          <w:p>
            <w:r/>
            <w:r>
              <w:rPr>
                <w:rFonts w:ascii="Aptos" w:hAnsi="Aptos"/>
                <w:b w:val="0"/>
                <w:color w:val="334155"/>
                <w:sz w:val="17"/>
              </w:rPr>
              <w:t>Avoid vague promises</w:t>
            </w:r>
          </w:p>
        </w:tc>
        <w:tc>
          <w:tcPr>
            <w:tcW w:type="dxa" w:w="3504"/>
            <w:vAlign w:val="top"/>
          </w:tcPr>
          <w:p>
            <w:r/>
            <w:r>
              <w:rPr>
                <w:rFonts w:ascii="Aptos" w:hAnsi="Aptos"/>
                <w:b w:val="0"/>
                <w:color w:val="334155"/>
                <w:sz w:val="17"/>
              </w:rPr>
              <w:t>How often does this task happen, who handles it now, and what would success look like after 30 days?</w:t>
            </w:r>
          </w:p>
        </w:tc>
      </w:tr>
      <w:tr>
        <w:tc>
          <w:tcPr>
            <w:tcW w:type="dxa" w:w="3504"/>
            <w:vAlign w:val="top"/>
          </w:tcPr>
          <w:p>
            <w:r/>
            <w:r>
              <w:rPr>
                <w:rFonts w:ascii="Aptos" w:hAnsi="Aptos"/>
                <w:b/>
                <w:color w:val="334155"/>
                <w:sz w:val="17"/>
              </w:rPr>
              <w:t>Access and compliance</w:t>
            </w:r>
          </w:p>
        </w:tc>
        <w:tc>
          <w:tcPr>
            <w:tcW w:type="dxa" w:w="3504"/>
            <w:vAlign w:val="top"/>
          </w:tcPr>
          <w:p>
            <w:r/>
            <w:r>
              <w:rPr>
                <w:rFonts w:ascii="Aptos" w:hAnsi="Aptos"/>
                <w:b w:val="0"/>
                <w:color w:val="334155"/>
                <w:sz w:val="17"/>
              </w:rPr>
              <w:t>Protect privacy</w:t>
            </w:r>
          </w:p>
        </w:tc>
        <w:tc>
          <w:tcPr>
            <w:tcW w:type="dxa" w:w="3504"/>
            <w:vAlign w:val="top"/>
          </w:tcPr>
          <w:p>
            <w:r/>
            <w:r>
              <w:rPr>
                <w:rFonts w:ascii="Aptos" w:hAnsi="Aptos"/>
                <w:b w:val="0"/>
                <w:color w:val="334155"/>
                <w:sz w:val="17"/>
              </w:rPr>
              <w:t>I would not request PHI or system access until proper onboarding, agreements, and instructions are in place.</w:t>
            </w:r>
          </w:p>
        </w:tc>
      </w:tr>
      <w:tr>
        <w:tc>
          <w:tcPr>
            <w:tcW w:type="dxa" w:w="3504"/>
            <w:vAlign w:val="top"/>
          </w:tcPr>
          <w:p>
            <w:r/>
            <w:r>
              <w:rPr>
                <w:rFonts w:ascii="Aptos" w:hAnsi="Aptos"/>
                <w:b/>
                <w:color w:val="334155"/>
                <w:sz w:val="17"/>
              </w:rPr>
              <w:t>Pilot close</w:t>
            </w:r>
          </w:p>
        </w:tc>
        <w:tc>
          <w:tcPr>
            <w:tcW w:type="dxa" w:w="3504"/>
            <w:vAlign w:val="top"/>
          </w:tcPr>
          <w:p>
            <w:r/>
            <w:r>
              <w:rPr>
                <w:rFonts w:ascii="Aptos" w:hAnsi="Aptos"/>
                <w:b w:val="0"/>
                <w:color w:val="334155"/>
                <w:sz w:val="17"/>
              </w:rPr>
              <w:t>Suggest a low-risk next step</w:t>
            </w:r>
          </w:p>
        </w:tc>
        <w:tc>
          <w:tcPr>
            <w:tcW w:type="dxa" w:w="3504"/>
            <w:vAlign w:val="top"/>
          </w:tcPr>
          <w:p>
            <w:r/>
            <w:r>
              <w:rPr>
                <w:rFonts w:ascii="Aptos" w:hAnsi="Aptos"/>
                <w:b w:val="0"/>
                <w:color w:val="334155"/>
                <w:sz w:val="17"/>
              </w:rPr>
              <w:t>A small pilot focused on one workflow may be safer than a broad commitment.</w:t>
            </w:r>
          </w:p>
        </w:tc>
      </w:tr>
    </w:tbl>
    <w:p/>
    <w:p/>
    <w:p>
      <w:pPr>
        <w:pStyle w:val="Heading1"/>
      </w:pPr>
      <w:r>
        <w:rPr>
          <w:rFonts w:ascii="Aptos" w:hAnsi="Aptos"/>
          <w:b/>
          <w:color w:val="0B1F33"/>
          <w:sz w:val="32"/>
        </w:rPr>
        <w:t>Discovery Questions</w:t>
      </w:r>
    </w:p>
    <w:p>
      <w:r>
        <w:rPr>
          <w:rFonts w:ascii="Aptos" w:hAnsi="Aptos"/>
          <w:b w:val="0"/>
          <w:color w:val="334155"/>
          <w:sz w:val="20"/>
        </w:rPr>
        <w:t>[ ] What billing or admin task is slowing the team down right now?</w:t>
      </w:r>
    </w:p>
    <w:p>
      <w:r>
        <w:rPr>
          <w:rFonts w:ascii="Aptos" w:hAnsi="Aptos"/>
          <w:b w:val="0"/>
          <w:color w:val="334155"/>
          <w:sz w:val="20"/>
        </w:rPr>
        <w:t>[ ] Who currently handles AR follow-up, eligibility, prior authorization, or denial tracking?</w:t>
      </w:r>
    </w:p>
    <w:p>
      <w:r>
        <w:rPr>
          <w:rFonts w:ascii="Aptos" w:hAnsi="Aptos"/>
          <w:b w:val="0"/>
          <w:color w:val="334155"/>
          <w:sz w:val="20"/>
        </w:rPr>
        <w:t>[ ] Do you have a queue, tracker, or report that needs consistent follow-up?</w:t>
      </w:r>
    </w:p>
    <w:p>
      <w:r>
        <w:rPr>
          <w:rFonts w:ascii="Aptos" w:hAnsi="Aptos"/>
          <w:b w:val="0"/>
          <w:color w:val="334155"/>
          <w:sz w:val="20"/>
        </w:rPr>
        <w:t>[ ] What system or process would I need to learn during onboarding?</w:t>
      </w:r>
    </w:p>
    <w:p>
      <w:r>
        <w:rPr>
          <w:rFonts w:ascii="Aptos" w:hAnsi="Aptos"/>
          <w:b w:val="0"/>
          <w:color w:val="334155"/>
          <w:sz w:val="20"/>
        </w:rPr>
        <w:t>[ ] What would a successful first 1-2 weeks look like?</w:t>
      </w:r>
    </w:p>
    <w:p>
      <w:r>
        <w:rPr>
          <w:rFonts w:ascii="Aptos" w:hAnsi="Aptos"/>
          <w:b w:val="0"/>
          <w:color w:val="334155"/>
          <w:sz w:val="20"/>
        </w:rPr>
        <w:t>[ ] What should not be handled remotely or outside your SOP?</w:t>
      </w:r>
    </w:p>
    <w:p>
      <w:r>
        <w:rPr>
          <w:rFonts w:ascii="Aptos" w:hAnsi="Aptos"/>
          <w:b w:val="0"/>
          <w:color w:val="334155"/>
          <w:sz w:val="20"/>
        </w:rPr>
        <w:t>[ ] Who approves next steps, scope, and access?</w:t>
      </w:r>
    </w:p>
    <w:p/>
    <w:p>
      <w:pPr>
        <w:pStyle w:val="Heading1"/>
      </w:pPr>
      <w:r>
        <w:rPr>
          <w:rFonts w:ascii="Aptos" w:hAnsi="Aptos"/>
          <w:b/>
          <w:color w:val="0B1F33"/>
          <w:sz w:val="32"/>
        </w:rPr>
        <w:t>Pilot Scope Builder</w:t>
      </w:r>
    </w:p>
    <w:tbl>
      <w:tblPr>
        <w:tblStyle w:val="TableGrid"/>
        <w:tblW w:type="auto" w:w="0"/>
        <w:jc w:val="left"/>
        <w:tblLook w:firstColumn="1" w:firstRow="1" w:lastColumn="0" w:lastRow="0" w:noHBand="0" w:noVBand="1" w:val="04A0"/>
      </w:tblPr>
      <w:tblGrid>
        <w:gridCol w:w="5256"/>
        <w:gridCol w:w="5256"/>
      </w:tblGrid>
      <w:tr>
        <w:tc>
          <w:tcPr>
            <w:tcW w:type="dxa" w:w="5256"/>
            <w:vAlign w:val="top"/>
            <w:shd w:fill="0B1F33"/>
          </w:tcPr>
          <w:p>
            <w:r/>
            <w:r>
              <w:rPr>
                <w:rFonts w:ascii="Aptos" w:hAnsi="Aptos"/>
                <w:b/>
                <w:color w:val="FFFFFF"/>
                <w:sz w:val="17"/>
              </w:rPr>
              <w:t>Field</w:t>
            </w:r>
          </w:p>
        </w:tc>
        <w:tc>
          <w:tcPr>
            <w:tcW w:type="dxa" w:w="5256"/>
            <w:vAlign w:val="top"/>
            <w:shd w:fill="0B1F33"/>
          </w:tcPr>
          <w:p>
            <w:r/>
            <w:r>
              <w:rPr>
                <w:rFonts w:ascii="Aptos" w:hAnsi="Aptos"/>
                <w:b/>
                <w:color w:val="FFFFFF"/>
                <w:sz w:val="17"/>
              </w:rPr>
              <w:t>Editable prompt</w:t>
            </w:r>
          </w:p>
        </w:tc>
      </w:tr>
      <w:tr>
        <w:tc>
          <w:tcPr>
            <w:tcW w:type="dxa" w:w="5256"/>
            <w:vAlign w:val="top"/>
          </w:tcPr>
          <w:p>
            <w:r/>
            <w:r>
              <w:rPr>
                <w:rFonts w:ascii="Aptos" w:hAnsi="Aptos"/>
                <w:b/>
                <w:color w:val="334155"/>
                <w:sz w:val="17"/>
              </w:rPr>
              <w:t>Goal</w:t>
            </w:r>
          </w:p>
        </w:tc>
        <w:tc>
          <w:tcPr>
            <w:tcW w:type="dxa" w:w="5256"/>
            <w:vAlign w:val="top"/>
          </w:tcPr>
          <w:p>
            <w:r/>
            <w:r>
              <w:rPr>
                <w:rFonts w:ascii="Aptos" w:hAnsi="Aptos"/>
                <w:b w:val="0"/>
                <w:color w:val="334155"/>
                <w:sz w:val="17"/>
              </w:rPr>
              <w:t>[ONE WORKFLOW OUTCOME]</w:t>
            </w:r>
          </w:p>
        </w:tc>
      </w:tr>
      <w:tr>
        <w:tc>
          <w:tcPr>
            <w:tcW w:type="dxa" w:w="5256"/>
            <w:vAlign w:val="top"/>
          </w:tcPr>
          <w:p>
            <w:r/>
            <w:r>
              <w:rPr>
                <w:rFonts w:ascii="Aptos" w:hAnsi="Aptos"/>
                <w:b/>
                <w:color w:val="334155"/>
                <w:sz w:val="17"/>
              </w:rPr>
              <w:t>Scope</w:t>
            </w:r>
          </w:p>
        </w:tc>
        <w:tc>
          <w:tcPr>
            <w:tcW w:type="dxa" w:w="5256"/>
            <w:vAlign w:val="top"/>
          </w:tcPr>
          <w:p>
            <w:r/>
            <w:r>
              <w:rPr>
                <w:rFonts w:ascii="Aptos" w:hAnsi="Aptos"/>
                <w:b w:val="0"/>
                <w:color w:val="334155"/>
                <w:sz w:val="17"/>
              </w:rPr>
              <w:t>[ONE TASK ONLY: AR follow-up / verification / auth tracking / denial organization]</w:t>
            </w:r>
          </w:p>
        </w:tc>
      </w:tr>
      <w:tr>
        <w:tc>
          <w:tcPr>
            <w:tcW w:type="dxa" w:w="5256"/>
            <w:vAlign w:val="top"/>
          </w:tcPr>
          <w:p>
            <w:r/>
            <w:r>
              <w:rPr>
                <w:rFonts w:ascii="Aptos" w:hAnsi="Aptos"/>
                <w:b/>
                <w:color w:val="334155"/>
                <w:sz w:val="17"/>
              </w:rPr>
              <w:t>Timeline</w:t>
            </w:r>
          </w:p>
        </w:tc>
        <w:tc>
          <w:tcPr>
            <w:tcW w:type="dxa" w:w="5256"/>
            <w:vAlign w:val="top"/>
          </w:tcPr>
          <w:p>
            <w:r/>
            <w:r>
              <w:rPr>
                <w:rFonts w:ascii="Aptos" w:hAnsi="Aptos"/>
                <w:b w:val="0"/>
                <w:color w:val="334155"/>
                <w:sz w:val="17"/>
              </w:rPr>
              <w:t>[1-2 WEEKS]</w:t>
            </w:r>
          </w:p>
        </w:tc>
      </w:tr>
      <w:tr>
        <w:tc>
          <w:tcPr>
            <w:tcW w:type="dxa" w:w="5256"/>
            <w:vAlign w:val="top"/>
          </w:tcPr>
          <w:p>
            <w:r/>
            <w:r>
              <w:rPr>
                <w:rFonts w:ascii="Aptos" w:hAnsi="Aptos"/>
                <w:b/>
                <w:color w:val="334155"/>
                <w:sz w:val="17"/>
              </w:rPr>
              <w:t>Deliverables</w:t>
            </w:r>
          </w:p>
        </w:tc>
        <w:tc>
          <w:tcPr>
            <w:tcW w:type="dxa" w:w="5256"/>
            <w:vAlign w:val="top"/>
          </w:tcPr>
          <w:p>
            <w:r/>
            <w:r>
              <w:rPr>
                <w:rFonts w:ascii="Aptos" w:hAnsi="Aptos"/>
                <w:b w:val="0"/>
                <w:color w:val="334155"/>
                <w:sz w:val="17"/>
              </w:rPr>
              <w:t>[STATUS NOTES / TRACKER UPDATES / NEXT-ACTION LIST / SUMMARY REPORT]</w:t>
            </w:r>
          </w:p>
        </w:tc>
      </w:tr>
      <w:tr>
        <w:tc>
          <w:tcPr>
            <w:tcW w:type="dxa" w:w="5256"/>
            <w:vAlign w:val="top"/>
          </w:tcPr>
          <w:p>
            <w:r/>
            <w:r>
              <w:rPr>
                <w:rFonts w:ascii="Aptos" w:hAnsi="Aptos"/>
                <w:b/>
                <w:color w:val="334155"/>
                <w:sz w:val="17"/>
              </w:rPr>
              <w:t>Boundaries</w:t>
            </w:r>
          </w:p>
        </w:tc>
        <w:tc>
          <w:tcPr>
            <w:tcW w:type="dxa" w:w="5256"/>
            <w:vAlign w:val="top"/>
          </w:tcPr>
          <w:p>
            <w:r/>
            <w:r>
              <w:rPr>
                <w:rFonts w:ascii="Aptos" w:hAnsi="Aptos"/>
                <w:b w:val="0"/>
                <w:color w:val="334155"/>
                <w:sz w:val="17"/>
              </w:rPr>
              <w:t>No PHI exchange or system access before onboarding, agreements, permissions, and client instructions.</w:t>
            </w:r>
          </w:p>
        </w:tc>
      </w:tr>
      <w:tr>
        <w:tc>
          <w:tcPr>
            <w:tcW w:type="dxa" w:w="5256"/>
            <w:vAlign w:val="top"/>
          </w:tcPr>
          <w:p>
            <w:r/>
            <w:r>
              <w:rPr>
                <w:rFonts w:ascii="Aptos" w:hAnsi="Aptos"/>
                <w:b/>
                <w:color w:val="334155"/>
                <w:sz w:val="17"/>
              </w:rPr>
              <w:t>Next step</w:t>
            </w:r>
          </w:p>
        </w:tc>
        <w:tc>
          <w:tcPr>
            <w:tcW w:type="dxa" w:w="5256"/>
            <w:vAlign w:val="top"/>
          </w:tcPr>
          <w:p>
            <w:r/>
            <w:r>
              <w:rPr>
                <w:rFonts w:ascii="Aptos" w:hAnsi="Aptos"/>
                <w:b w:val="0"/>
                <w:color w:val="334155"/>
                <w:sz w:val="17"/>
              </w:rPr>
              <w:t>[FOLLOW-UP CALL / MONTHLY SUPPORT DISCUSSION / END PILOT]</w:t>
            </w:r>
          </w:p>
        </w:tc>
      </w:tr>
    </w:tbl>
    <w:p/>
    <w:p/>
    <w:p>
      <w:pPr>
        <w:pStyle w:val="Heading1"/>
      </w:pPr>
      <w:r>
        <w:rPr>
          <w:rFonts w:ascii="Aptos" w:hAnsi="Aptos"/>
          <w:b/>
          <w:color w:val="0B1F33"/>
          <w:sz w:val="32"/>
        </w:rPr>
        <w:t>What not to say on the call</w:t>
      </w:r>
    </w:p>
    <w:p>
      <w:r>
        <w:rPr>
          <w:rFonts w:ascii="Aptos" w:hAnsi="Aptos"/>
          <w:b w:val="0"/>
          <w:color w:val="334155"/>
          <w:sz w:val="20"/>
        </w:rPr>
        <w:t>[ ] Do not promise revenue, collections, approvals, or payer outcomes.</w:t>
      </w:r>
    </w:p>
    <w:p>
      <w:r>
        <w:rPr>
          <w:rFonts w:ascii="Aptos" w:hAnsi="Aptos"/>
          <w:b w:val="0"/>
          <w:color w:val="334155"/>
          <w:sz w:val="20"/>
        </w:rPr>
        <w:t>[ ] Do not give legal, medical, coding, or payer-specific advice.</w:t>
      </w:r>
    </w:p>
    <w:p>
      <w:r>
        <w:rPr>
          <w:rFonts w:ascii="Aptos" w:hAnsi="Aptos"/>
          <w:b w:val="0"/>
          <w:color w:val="334155"/>
          <w:sz w:val="20"/>
        </w:rPr>
        <w:t>[ ] Do not ask for patient details before proper onboarding.</w:t>
      </w:r>
    </w:p>
    <w:p>
      <w:r>
        <w:rPr>
          <w:rFonts w:ascii="Aptos" w:hAnsi="Aptos"/>
          <w:b w:val="0"/>
          <w:color w:val="334155"/>
          <w:sz w:val="20"/>
        </w:rPr>
        <w:t>[ ] Do not say you can replace certified staff or licensed professionals.</w:t>
      </w:r>
    </w:p>
    <w:p>
      <w:r>
        <w:rPr>
          <w:rFonts w:ascii="Aptos" w:hAnsi="Aptos"/>
          <w:b w:val="0"/>
          <w:color w:val="334155"/>
          <w:sz w:val="20"/>
        </w:rPr>
        <w:t>[ ] Do not agree to a vague all-in scope without workflow boundaries.</w:t>
      </w:r>
    </w:p>
    <w:p/>
    <w:p>
      <w:pPr>
        <w:pStyle w:val="Heading1"/>
      </w:pPr>
      <w:r>
        <w:rPr>
          <w:rFonts w:ascii="Aptos" w:hAnsi="Aptos"/>
          <w:b/>
          <w:color w:val="0B1F33"/>
          <w:sz w:val="32"/>
        </w:rPr>
        <w:t>Common Beginner Mistakes</w:t>
      </w:r>
    </w:p>
    <w:p>
      <w:r>
        <w:rPr>
          <w:rFonts w:ascii="Aptos" w:hAnsi="Aptos"/>
          <w:b w:val="0"/>
          <w:color w:val="334155"/>
          <w:sz w:val="20"/>
        </w:rPr>
        <w:t>[ ] Sending the same message to every clinic without personalization.</w:t>
      </w:r>
    </w:p>
    <w:p>
      <w:r>
        <w:rPr>
          <w:rFonts w:ascii="Aptos" w:hAnsi="Aptos"/>
          <w:b w:val="0"/>
          <w:color w:val="334155"/>
          <w:sz w:val="20"/>
        </w:rPr>
        <w:t>[ ] Claiming broad expertise instead of one focused healthcare admin offer.</w:t>
      </w:r>
    </w:p>
    <w:p>
      <w:r>
        <w:rPr>
          <w:rFonts w:ascii="Aptos" w:hAnsi="Aptos"/>
          <w:b w:val="0"/>
          <w:color w:val="334155"/>
          <w:sz w:val="20"/>
        </w:rPr>
        <w:t>[ ] Using real patient, payer, clinic, account, or login information in practice.</w:t>
      </w:r>
    </w:p>
    <w:p>
      <w:r>
        <w:rPr>
          <w:rFonts w:ascii="Aptos" w:hAnsi="Aptos"/>
          <w:b w:val="0"/>
          <w:color w:val="334155"/>
          <w:sz w:val="20"/>
        </w:rPr>
        <w:t>[ ] Pressuring a clinic after they do not reply or ask not to be contacted.</w:t>
      </w:r>
    </w:p>
    <w:p>
      <w:r>
        <w:rPr>
          <w:rFonts w:ascii="Aptos" w:hAnsi="Aptos"/>
          <w:b w:val="0"/>
          <w:color w:val="334155"/>
          <w:sz w:val="20"/>
        </w:rPr>
        <w:t>[ ] Discussing pricing, scope, or access before understanding the workflow need.</w:t>
      </w:r>
    </w:p>
    <w:tbl>
      <w:tblPr>
        <w:tblStyle w:val="TableGrid"/>
        <w:tblW w:type="auto" w:w="0"/>
        <w:tblLook w:firstColumn="1" w:firstRow="1" w:lastColumn="0" w:lastRow="0" w:noHBand="0" w:noVBand="1" w:val="04A0"/>
      </w:tblPr>
      <w:tblGrid>
        <w:gridCol w:w="10512"/>
      </w:tblGrid>
      <w:tr>
        <w:tc>
          <w:tcPr>
            <w:tcW w:type="dxa" w:w="10512"/>
            <w:shd w:fill="EAF7F4"/>
          </w:tcPr>
          <w:p>
            <w:r>
              <w:rPr>
                <w:rFonts w:ascii="Aptos" w:hAnsi="Aptos"/>
                <w:b/>
                <w:color w:val="0B1F33"/>
                <w:sz w:val="22"/>
              </w:rPr>
              <w:t>Safe Practice Reminder</w:t>
            </w:r>
          </w:p>
        </w:tc>
      </w:tr>
      <w:tr>
        <w:tc>
          <w:tcPr>
            <w:tcW w:type="dxa" w:w="10512"/>
            <w:shd w:fill="DDF7EF"/>
          </w:tcPr>
          <w:p>
            <w:r>
              <w:rPr>
                <w:rFonts w:ascii="Aptos" w:hAnsi="Aptos"/>
                <w:b w:val="0"/>
                <w:color w:val="0B1F33"/>
                <w:sz w:val="18"/>
              </w:rPr>
              <w:t>Practice with fictional clinic names, example.com email addresses, and public business information only. Keep outreach respectful, low-volume, and truthful.</w:t>
            </w:r>
          </w:p>
        </w:tc>
      </w:tr>
    </w:tbl>
    <w:p/>
    <w:tbl>
      <w:tblPr>
        <w:tblStyle w:val="TableGrid"/>
        <w:tblW w:type="auto" w:w="0"/>
        <w:tblLook w:firstColumn="1" w:firstRow="1" w:lastColumn="0" w:lastRow="0" w:noHBand="0" w:noVBand="1" w:val="04A0"/>
      </w:tblPr>
      <w:tblGrid>
        <w:gridCol w:w="10512"/>
      </w:tblGrid>
      <w:tr>
        <w:tc>
          <w:tcPr>
            <w:tcW w:type="dxa" w:w="10512"/>
            <w:shd w:fill="EAF7F4"/>
          </w:tcPr>
          <w:p>
            <w:r>
              <w:rPr>
                <w:rFonts w:ascii="Aptos" w:hAnsi="Aptos"/>
                <w:b/>
                <w:color w:val="0B1F33"/>
                <w:sz w:val="22"/>
              </w:rPr>
              <w:t>No-PHI Practice Reminder</w:t>
            </w:r>
          </w:p>
        </w:tc>
      </w:tr>
      <w:tr>
        <w:tc>
          <w:tcPr>
            <w:tcW w:type="dxa" w:w="10512"/>
            <w:shd w:fill="DDF7EF"/>
          </w:tcPr>
          <w:p>
            <w:r>
              <w:rPr>
                <w:rFonts w:ascii="Aptos" w:hAnsi="Aptos"/>
                <w:b w:val="0"/>
                <w:color w:val="0B1F33"/>
                <w:sz w:val="18"/>
              </w:rPr>
              <w:t>Do not use or enter real patient names, dates of birth, insurance IDs, member IDs, claim numbers, medical record numbers, addresses, phone numbers, diagnoses, treatment details, login details, or protected health information. Use fictional data only when practicing.</w:t>
            </w:r>
          </w:p>
        </w:tc>
      </w:tr>
    </w:tbl>
    <w:p/>
    <w:p>
      <w:pPr>
        <w:pStyle w:val="Heading1"/>
      </w:pPr>
      <w:r>
        <w:rPr>
          <w:rFonts w:ascii="Aptos" w:hAnsi="Aptos"/>
          <w:b/>
          <w:color w:val="0B1F33"/>
          <w:sz w:val="32"/>
        </w:rPr>
        <w:t>Educational Use Only</w:t>
      </w:r>
    </w:p>
    <w:p>
      <w:r>
        <w:rPr>
          <w:rFonts w:ascii="Aptos" w:hAnsi="Aptos"/>
          <w:b w:val="0"/>
          <w:color w:val="334155"/>
          <w:sz w:val="20"/>
        </w:rPr>
        <w:t>This resource is for beginner-friendly healthcare admin education only. It is not medical advice, legal advice, coding certification, payer-specific billing authority, a replacement for employer training, or a guarantee of employment. Always verify current requirements with official sources, employer policy, payer rules, client instructions, and updated guidance.</w:t>
      </w:r>
    </w:p>
    <w:p>
      <w:pPr>
        <w:pStyle w:val="Heading1"/>
      </w:pPr>
      <w:r>
        <w:rPr>
          <w:rFonts w:ascii="Aptos" w:hAnsi="Aptos"/>
          <w:b/>
          <w:color w:val="0B1F33"/>
          <w:sz w:val="32"/>
        </w:rPr>
        <w:t>Source/review note</w:t>
      </w:r>
    </w:p>
    <w:p>
      <w:r>
        <w:rPr>
          <w:rFonts w:ascii="Aptos" w:hAnsi="Aptos"/>
          <w:b w:val="0"/>
          <w:color w:val="334155"/>
          <w:sz w:val="20"/>
        </w:rPr>
        <w:t>This resource is for educational and business-planning use only. It does not guarantee employment, client acquisition, income, or contract approval. Keep all claims truthful and verify privacy, business, email, and client-contract requirements before use.</w:t>
      </w:r>
    </w:p>
    <w:tbl>
      <w:tblPr>
        <w:tblStyle w:val="TableGrid"/>
        <w:tblW w:type="auto" w:w="0"/>
        <w:tblLook w:firstColumn="1" w:firstRow="1" w:lastColumn="0" w:lastRow="0" w:noHBand="0" w:noVBand="1" w:val="04A0"/>
      </w:tblPr>
      <w:tblGrid>
        <w:gridCol w:w="10512"/>
      </w:tblGrid>
      <w:tr>
        <w:tc>
          <w:tcPr>
            <w:tcW w:type="dxa" w:w="10512"/>
            <w:shd w:fill="EAF7F4"/>
          </w:tcPr>
          <w:p>
            <w:r>
              <w:rPr>
                <w:rFonts w:ascii="Aptos" w:hAnsi="Aptos"/>
                <w:b/>
                <w:color w:val="0B1F33"/>
                <w:sz w:val="22"/>
              </w:rPr>
              <w:t>Recommended Next Step</w:t>
            </w:r>
          </w:p>
        </w:tc>
      </w:tr>
      <w:tr>
        <w:tc>
          <w:tcPr>
            <w:tcW w:type="dxa" w:w="10512"/>
            <w:shd w:fill="DDF7EF"/>
          </w:tcPr>
          <w:p>
            <w:r>
              <w:rPr>
                <w:rFonts w:ascii="Aptos" w:hAnsi="Aptos"/>
                <w:b w:val="0"/>
                <w:color w:val="0B1F33"/>
                <w:sz w:val="18"/>
              </w:rPr>
              <w:t>After the call, document scope, boundaries, owner, next action, and follow-up date in your tracker.</w:t>
            </w:r>
          </w:p>
        </w:tc>
      </w:tr>
    </w:tbl>
    <w:p/>
    <w:sectPr w:rsidR="00FC693F" w:rsidRPr="0006063C" w:rsidSect="00034616">
      <w:headerReference w:type="default" r:id="rId9"/>
      <w:footerReference w:type="default" r:id="rId10"/>
      <w:pgSz w:w="12240" w:h="15840"/>
      <w:pgMar w:top="792" w:right="864" w:bottom="792"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rFonts w:ascii="Aptos" w:hAnsi="Aptos"/>
        <w:b w:val="0"/>
        <w:color w:val="334155"/>
        <w:sz w:val="14"/>
      </w:rPr>
      <w:t>RisenFynix | MVA Simplified - Healthcare VA Learning Hub | Educational use only. Do not use real PHI. Verify current requirements with official sources, employer policy, payer rules, and client instructions.</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r>
      <w:rPr>
        <w:rFonts w:ascii="Aptos" w:hAnsi="Aptos"/>
        <w:b w:val="0"/>
        <w:color w:val="0B1F33"/>
        <w:sz w:val="16"/>
      </w:rPr>
      <w:t>RisenFynix / MVA Simplified - Healthcare VA Learning Hub</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Discovery Call Script</dc:title>
  <dc:subject>RisenFynix / MVA Simplified downloadable resource</dc:subject>
  <dc:creator>RisenFynix / MVA Simplified</dc:creator>
  <cp:keywords/>
  <dc:description>generated by python-docx</dc:description>
  <cp:lastModifiedBy/>
  <cp:revision>1</cp:revision>
  <dcterms:created xsi:type="dcterms:W3CDTF">2013-12-23T23:15:00Z</dcterms:created>
  <dcterms:modified xsi:type="dcterms:W3CDTF">2013-12-23T23:15:00Z</dcterms:modified>
  <cp:category/>
</cp:coreProperties>
</file>