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Arial" w:hAnsi="Arial"/>
          <w:b/>
          <w:color w:val="0F766E"/>
          <w:sz w:val="20"/>
        </w:rPr>
        <w:t>RisenFynix / MVA Simplified</w:t>
      </w:r>
    </w:p>
    <w:p>
      <w:pPr>
        <w:pStyle w:val="Heading1"/>
      </w:pPr>
      <w:r>
        <w:rPr>
          <w:rFonts w:ascii="Arial" w:hAnsi="Arial"/>
        </w:rPr>
        <w:t>Eligibility &amp; Benefits Verification Checklist</w:t>
      </w:r>
    </w:p>
    <w:p>
      <w:r>
        <w:rPr>
          <w:rFonts w:ascii="Arial" w:hAnsi="Arial"/>
          <w:color w:val="4B5563"/>
          <w:sz w:val="18"/>
        </w:rPr>
        <w:t>Healthcare VA Learning Hub | Learn US Healthcare Admin One Workflow at a Time.</w:t>
      </w:r>
    </w:p>
    <w:tbl>
      <w:tblPr>
        <w:tblStyle w:val="TableGrid"/>
        <w:tblW w:type="auto" w:w="0"/>
        <w:jc w:val="center"/>
        <w:tblLook w:firstColumn="1" w:firstRow="1" w:lastColumn="0" w:lastRow="0" w:noHBand="0" w:noVBand="1" w:val="04A0"/>
      </w:tblPr>
      <w:tblGrid>
        <w:gridCol w:w="5184"/>
        <w:gridCol w:w="5184"/>
      </w:tblGrid>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Resource type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Checklist / Template</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Who it is for</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Medical VAs, eligibility specialists, billers, schedulers, prior authorization VAs, and RCM beginners.</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When to use it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Use when practicing how to verify coverage, benefits, patient responsibility, referral/auth triggers, and documentation quality.</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How to use it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Complete each field with fictional data only, then answer where it happens, why it matters, and what happens if it is wrong.</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Last reviewed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July 2026</w:t>
            </w:r>
          </w:p>
        </w:tc>
      </w:tr>
    </w:tbl>
    <w:p>
      <w:r>
        <w:rPr>
          <w:rFonts w:ascii="Arial" w:hAnsi="Arial"/>
          <w:b/>
          <w:color w:val="0F766E"/>
        </w:rPr>
        <w:t>Core learning rule: Where does this happen? Why does it matter? What happens if it is wrong?</w:t>
      </w:r>
    </w:p>
    <w:p>
      <w:r>
        <w:rPr>
          <w:rFonts w:ascii="Arial" w:hAnsi="Arial"/>
          <w:b/>
          <w:color w:val="9A3412"/>
        </w:rPr>
        <w:t>Eligibility confirms active coverage for the date of service but does not guarantee coverage or payment.</w:t>
      </w:r>
    </w:p>
    <w:p>
      <w:pPr>
        <w:pStyle w:val="Heading2"/>
      </w:pPr>
      <w:r>
        <w:t>Purpose</w:t>
      </w:r>
    </w:p>
    <w:p>
      <w:r>
        <w:rPr>
          <w:rFonts w:ascii="Arial" w:hAnsi="Arial"/>
        </w:rPr>
        <w:t>Use this checklist to practice eligibility and benefits verification in a way that protects the patient, provider, and claim before the service is performed.</w:t>
      </w:r>
    </w:p>
    <w:p>
      <w:pPr>
        <w:pStyle w:val="Heading2"/>
      </w:pPr>
      <w:r>
        <w:t>Editable verification fields</w:t>
      </w:r>
    </w:p>
    <w:tbl>
      <w:tblPr>
        <w:tblStyle w:val="TableGrid"/>
        <w:tblW w:type="auto" w:w="0"/>
        <w:jc w:val="center"/>
        <w:tblLook w:firstColumn="1" w:firstRow="1" w:lastColumn="0" w:lastRow="0" w:noHBand="0" w:noVBand="1" w:val="04A0"/>
      </w:tblPr>
      <w:tblGrid>
        <w:gridCol w:w="5184"/>
        <w:gridCol w:w="5184"/>
      </w:tblGrid>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Field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Practice entry</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[FICTIONAL ACCOUNT ID]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[SERVICE / VISIT TYPE]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[DATE OF SERVICE RANGE]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[PAYER / PLAN]</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[PROVIDER / LOCATION]</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[SOURCE USED]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Portal / phone / clearinghouse / PM system / other</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[REFERENCE NUMBER]</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[FICTIONAL EXAMPLE ONLY]</w:t>
            </w:r>
          </w:p>
        </w:tc>
      </w:tr>
    </w:tbl>
    <w:p>
      <w:pPr>
        <w:pStyle w:val="Heading2"/>
      </w:pPr>
      <w:r>
        <w:t>Checklist</w:t>
      </w:r>
    </w:p>
    <w:p>
      <w:r>
        <w:rPr>
          <w:rFonts w:ascii="Arial" w:hAnsi="Arial"/>
        </w:rPr>
        <w:t>[ ] Confirm the correct payer, plan name, member/subscriber relationship, and active coverage for the intended date of service.</w:t>
      </w:r>
    </w:p>
    <w:p>
      <w:r>
        <w:rPr>
          <w:rFonts w:ascii="Arial" w:hAnsi="Arial"/>
        </w:rPr>
        <w:t>[ ] Verify provider and location network status when applicable.</w:t>
      </w:r>
    </w:p>
    <w:p>
      <w:r>
        <w:rPr>
          <w:rFonts w:ascii="Arial" w:hAnsi="Arial"/>
        </w:rPr>
        <w:t>[ ] Check benefit category for the exact service or appointment type.</w:t>
      </w:r>
    </w:p>
    <w:p>
      <w:r>
        <w:rPr>
          <w:rFonts w:ascii="Arial" w:hAnsi="Arial"/>
        </w:rPr>
        <w:t>[ ] Record copay, deductible, coinsurance, OOP status, and visit/unit limits if available.</w:t>
      </w:r>
    </w:p>
    <w:p>
      <w:r>
        <w:rPr>
          <w:rFonts w:ascii="Arial" w:hAnsi="Arial"/>
        </w:rPr>
        <w:t>[ ] Check referral, authorization, medical review, and special documentation requirements.</w:t>
      </w:r>
    </w:p>
    <w:p>
      <w:r>
        <w:rPr>
          <w:rFonts w:ascii="Arial" w:hAnsi="Arial"/>
        </w:rPr>
        <w:t>[ ] Check COB/secondary payer clues when applicable.</w:t>
      </w:r>
    </w:p>
    <w:p>
      <w:r>
        <w:rPr>
          <w:rFonts w:ascii="Arial" w:hAnsi="Arial"/>
        </w:rPr>
        <w:t>[ ] Document source, date/time, representative or portal reference, and next action.</w:t>
      </w:r>
    </w:p>
    <w:p>
      <w:r>
        <w:rPr>
          <w:rFonts w:ascii="Arial" w:hAnsi="Arial"/>
        </w:rPr>
        <w:t>[ ] Use non-guarantee language: eligibility and benefits may not guarantee coverage or payment.</w:t>
      </w:r>
    </w:p>
    <w:p>
      <w:pPr>
        <w:pStyle w:val="Heading2"/>
      </w:pPr>
      <w:r>
        <w:t>Fictional example</w:t>
      </w:r>
    </w:p>
    <w:p>
      <w:r>
        <w:rPr>
          <w:rFonts w:ascii="Arial" w:hAnsi="Arial"/>
        </w:rPr>
        <w:t>[FICTIONAL EXAMPLE ONLY] Account FIC-EV-001: Active commercial PPO for planned office visit; specialist benefit verified; authorization not required per portal for office visit; deductible may apply; reference saved in practice note. No real patient identifiers used.</w:t>
      </w:r>
    </w:p>
    <w:p>
      <w:pPr>
        <w:pStyle w:val="Heading2"/>
      </w:pPr>
      <w:r>
        <w:t>What to customize</w:t>
      </w:r>
    </w:p>
    <w:p>
      <w:pPr>
        <w:pStyle w:val="ListBullet"/>
      </w:pPr>
      <w:r>
        <w:t>Clinic specialty and appointment type</w:t>
      </w:r>
    </w:p>
    <w:p>
      <w:pPr>
        <w:pStyle w:val="ListBullet"/>
      </w:pPr>
      <w:r>
        <w:t>Client-approved note format</w:t>
      </w:r>
    </w:p>
    <w:p>
      <w:pPr>
        <w:pStyle w:val="ListBullet"/>
      </w:pPr>
      <w:r>
        <w:t>Allowed payer portal/phone source</w:t>
      </w:r>
    </w:p>
    <w:p>
      <w:pPr>
        <w:pStyle w:val="ListBullet"/>
      </w:pPr>
      <w:r>
        <w:t>Escalation path for unclear answers</w:t>
      </w:r>
    </w:p>
    <w:p>
      <w:pPr>
        <w:pStyle w:val="Heading2"/>
      </w:pPr>
      <w:r>
        <w:t>What not to include</w:t>
      </w:r>
    </w:p>
    <w:p>
      <w:pPr>
        <w:pStyle w:val="ListBullet"/>
      </w:pPr>
      <w:r>
        <w:t>Real patient identifiers in practice copies</w:t>
      </w:r>
    </w:p>
    <w:p>
      <w:pPr>
        <w:pStyle w:val="ListBullet"/>
      </w:pPr>
      <w:r>
        <w:t>Screenshots from real payer portals</w:t>
      </w:r>
    </w:p>
    <w:p>
      <w:pPr>
        <w:pStyle w:val="ListBullet"/>
      </w:pPr>
      <w:r>
        <w:t>Any promise that active eligibility guarantees payment</w:t>
      </w:r>
    </w:p>
    <w:p>
      <w:pPr>
        <w:pStyle w:val="ListBullet"/>
      </w:pPr>
      <w:r>
        <w:t>Any promise that a benefit quote is final</w:t>
      </w:r>
    </w:p>
    <w:p>
      <w:pPr>
        <w:pStyle w:val="Heading2"/>
      </w:pPr>
      <w:r>
        <w:t>Common beginner mistakes</w:t>
      </w:r>
    </w:p>
    <w:p>
      <w:pPr>
        <w:pStyle w:val="ListBullet"/>
      </w:pPr>
      <w:r>
        <w:t>Only asking whether insurance is active.</w:t>
      </w:r>
    </w:p>
    <w:p>
      <w:pPr>
        <w:pStyle w:val="ListBullet"/>
      </w:pPr>
      <w:r>
        <w:t>Using a patient statement instead of source-of-truth verification.</w:t>
      </w:r>
    </w:p>
    <w:p>
      <w:pPr>
        <w:pStyle w:val="ListBullet"/>
      </w:pPr>
      <w:r>
        <w:t>Forgetting provider/location network checks.</w:t>
      </w:r>
    </w:p>
    <w:p>
      <w:pPr>
        <w:pStyle w:val="ListBullet"/>
      </w:pPr>
      <w:r>
        <w:t>Failing to document reference numbers, source, date/time, and next action.</w:t>
      </w:r>
    </w:p>
    <w:p>
      <w:pPr>
        <w:pStyle w:val="Heading2"/>
      </w:pPr>
      <w:r>
        <w:t>Safe practice reminder</w:t>
      </w:r>
    </w:p>
    <w:p>
      <w:r>
        <w:rPr>
          <w:rFonts w:ascii="Arial" w:hAnsi="Arial"/>
        </w:rPr>
        <w:t>Practice with fictional examples only. Do not copy real work queues, payer portals, clinic notes, employer SOPs, screenshots, patient accounts, or client information into any practice file.</w:t>
      </w:r>
    </w:p>
    <w:p>
      <w:pPr>
        <w:pStyle w:val="Heading2"/>
      </w:pPr>
      <w:r>
        <w:t>No-PHI reminder</w:t>
      </w:r>
    </w:p>
    <w:p>
      <w:r>
        <w:rPr>
          <w:rFonts w:ascii="Arial" w:hAnsi="Arial"/>
        </w:rPr>
        <w:t>Do not use or enter real patient names, dates of birth, insurance IDs, member IDs, claim numbers, medical record numbers, addresses, phone numbers, diagnoses, treatment details, login details, or protected health information. Use fictional data only when practicing.</w:t>
      </w:r>
    </w:p>
    <w:p>
      <w:pPr>
        <w:pStyle w:val="Heading2"/>
      </w:pPr>
      <w:r>
        <w:t>Educational disclaimer</w:t>
      </w:r>
    </w:p>
    <w:p>
      <w:r>
        <w:rPr>
          <w:rFonts w:ascii="Arial" w:hAnsi="Arial"/>
        </w:rP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p>
      <w:pPr>
        <w:pStyle w:val="Heading2"/>
      </w:pPr>
      <w:r>
        <w:t>Source/review note</w:t>
      </w:r>
    </w:p>
    <w:p>
      <w:r>
        <w:rPr>
          <w:rFonts w:ascii="Arial" w:hAnsi="Arial"/>
        </w:rPr>
        <w:t>This beginner resource explains general front-end RCM workflow concepts. Requirements can vary by payer, plan, provider type, specialty, place of service, contract, referral rules, authorization rules, and current policy. Verify current requirements with official sources, employer policy, payer rules, client instructions, and updated guidance.</w:t>
      </w:r>
    </w:p>
    <w:p>
      <w:pPr>
        <w:pStyle w:val="Heading2"/>
      </w:pPr>
      <w:r>
        <w:t>Recommended next step</w:t>
      </w:r>
    </w:p>
    <w:p>
      <w:r>
        <w:rPr>
          <w:rFonts w:ascii="Arial" w:hAnsi="Arial"/>
        </w:rPr>
        <w:t>Use this checklist before the Prior Authorization Tracker when a service may require referral, authorization, medical review, or escalation.</w:t>
      </w:r>
    </w:p>
    <w:sectPr w:rsidR="00FC693F" w:rsidRPr="0006063C" w:rsidSect="00034616">
      <w:headerReference w:type="default" r:id="rId9"/>
      <w:footerReference w:type="default" r:id="rId10"/>
      <w:pgSz w:w="12240" w:h="15840"/>
      <w:pgMar w:top="792"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rFonts w:ascii="Arial" w:hAnsi="Arial"/>
        <w:color w:val="4B5563"/>
        <w:sz w:val="14"/>
      </w:rPr>
      <w:t>RisenFynix | MVA Simplified</w:t>
      <w:br/>
      <w:t>Healthcare VA Learning Hub</w:t>
      <w:br/>
      <w:t>Educational use only. Do not use real PHI. Verify current requirements with official sources, employer policy, payer rules, and client instructions.</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Arial" w:hAnsi="Arial"/>
        <w:color w:val="4B5563"/>
        <w:sz w:val="16"/>
      </w:rPr>
      <w:t>RisenFynix / MVA Simplified | Healthcare VA Learning Hub</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0B1F33"/>
      <w:sz w:val="4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0B1F33"/>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0B1F33"/>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Eligibility &amp; Benefits Verification Checklist</dc:title>
  <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