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ptos" w:hAnsi="Aptos"/>
          <w:b w:val="0"/>
          <w:color w:val="334155"/>
          <w:sz w:val="20"/>
        </w:rPr>
        <w:t>RisenFynix / MVA Simplified</w:t>
      </w:r>
    </w:p>
    <w:p>
      <w:pPr>
        <w:pStyle w:val="Heading2"/>
      </w:pPr>
      <w:r>
        <w:rPr>
          <w:rFonts w:ascii="Aptos" w:hAnsi="Aptos"/>
          <w:b/>
          <w:color w:val="0F766E"/>
          <w:sz w:val="26"/>
        </w:rPr>
        <w:t>Healthcare VA Learning Hub</w:t>
      </w:r>
    </w:p>
    <w:p>
      <w:pPr>
        <w:pStyle w:val="Heading1"/>
      </w:pPr>
      <w:r>
        <w:rPr>
          <w:rFonts w:ascii="Aptos" w:hAnsi="Aptos"/>
          <w:b/>
          <w:color w:val="0B1F33"/>
          <w:sz w:val="32"/>
        </w:rPr>
        <w:t>Follow-Up Email Template</w:t>
      </w:r>
    </w:p>
    <w:tbl>
      <w:tblPr>
        <w:tblStyle w:val="TableGrid"/>
        <w:tblW w:type="auto" w:w="0"/>
        <w:jc w:val="left"/>
        <w:tblLook w:firstColumn="1" w:firstRow="1" w:lastColumn="0" w:lastRow="0" w:noHBand="0" w:noVBand="1" w:val="04A0"/>
      </w:tblPr>
      <w:tblGrid>
        <w:gridCol w:w="5256"/>
        <w:gridCol w:w="5256"/>
      </w:tblGrid>
      <w:tr>
        <w:tc>
          <w:tcPr>
            <w:tcW w:type="dxa" w:w="5256"/>
            <w:vAlign w:val="top"/>
            <w:shd w:fill="0B1F33"/>
          </w:tcPr>
          <w:p>
            <w:r/>
            <w:r>
              <w:rPr>
                <w:rFonts w:ascii="Aptos" w:hAnsi="Aptos"/>
                <w:b/>
                <w:color w:val="FFFFFF"/>
                <w:sz w:val="17"/>
              </w:rPr>
              <w:t>Field</w:t>
            </w:r>
          </w:p>
        </w:tc>
        <w:tc>
          <w:tcPr>
            <w:tcW w:type="dxa" w:w="5256"/>
            <w:vAlign w:val="top"/>
            <w:shd w:fill="0B1F33"/>
          </w:tcPr>
          <w:p>
            <w:r/>
            <w:r>
              <w:rPr>
                <w:rFonts w:ascii="Aptos" w:hAnsi="Aptos"/>
                <w:b/>
                <w:color w:val="FFFFFF"/>
                <w:sz w:val="17"/>
              </w:rPr>
              <w:t>Details</w:t>
            </w:r>
          </w:p>
        </w:tc>
      </w:tr>
      <w:tr>
        <w:tc>
          <w:tcPr>
            <w:tcW w:type="dxa" w:w="5256"/>
            <w:vAlign w:val="top"/>
          </w:tcPr>
          <w:p>
            <w:r/>
            <w:r>
              <w:rPr>
                <w:rFonts w:ascii="Aptos" w:hAnsi="Aptos"/>
                <w:b/>
                <w:color w:val="334155"/>
                <w:sz w:val="17"/>
              </w:rPr>
              <w:t>Resource Type</w:t>
            </w:r>
          </w:p>
        </w:tc>
        <w:tc>
          <w:tcPr>
            <w:tcW w:type="dxa" w:w="5256"/>
            <w:vAlign w:val="top"/>
          </w:tcPr>
          <w:p>
            <w:r/>
            <w:r>
              <w:rPr>
                <w:rFonts w:ascii="Aptos" w:hAnsi="Aptos"/>
                <w:b w:val="0"/>
                <w:color w:val="334155"/>
                <w:sz w:val="17"/>
              </w:rPr>
              <w:t>Template</w:t>
            </w:r>
          </w:p>
        </w:tc>
      </w:tr>
      <w:tr>
        <w:tc>
          <w:tcPr>
            <w:tcW w:type="dxa" w:w="5256"/>
            <w:vAlign w:val="top"/>
          </w:tcPr>
          <w:p>
            <w:r/>
            <w:r>
              <w:rPr>
                <w:rFonts w:ascii="Aptos" w:hAnsi="Aptos"/>
                <w:b/>
                <w:color w:val="334155"/>
                <w:sz w:val="17"/>
              </w:rPr>
              <w:t>Who it is for</w:t>
            </w:r>
          </w:p>
        </w:tc>
        <w:tc>
          <w:tcPr>
            <w:tcW w:type="dxa" w:w="5256"/>
            <w:vAlign w:val="top"/>
          </w:tcPr>
          <w:p>
            <w:r/>
            <w:r>
              <w:rPr>
                <w:rFonts w:ascii="Aptos" w:hAnsi="Aptos"/>
                <w:b w:val="0"/>
                <w:color w:val="334155"/>
                <w:sz w:val="17"/>
              </w:rPr>
              <w:t>Aspiring Medical VAs, Medical Billers, AR follow-up specialists, and healthcare admin learners preparing respectful direct-client outreach.</w:t>
            </w:r>
          </w:p>
        </w:tc>
      </w:tr>
      <w:tr>
        <w:tc>
          <w:tcPr>
            <w:tcW w:type="dxa" w:w="5256"/>
            <w:vAlign w:val="top"/>
          </w:tcPr>
          <w:p>
            <w:r/>
            <w:r>
              <w:rPr>
                <w:rFonts w:ascii="Aptos" w:hAnsi="Aptos"/>
                <w:b/>
                <w:color w:val="334155"/>
                <w:sz w:val="17"/>
              </w:rPr>
              <w:t>When to use it</w:t>
            </w:r>
          </w:p>
        </w:tc>
        <w:tc>
          <w:tcPr>
            <w:tcW w:type="dxa" w:w="5256"/>
            <w:vAlign w:val="top"/>
          </w:tcPr>
          <w:p>
            <w:r/>
            <w:r>
              <w:rPr>
                <w:rFonts w:ascii="Aptos" w:hAnsi="Aptos"/>
                <w:b w:val="0"/>
                <w:color w:val="334155"/>
                <w:sz w:val="17"/>
              </w:rPr>
              <w:t>Use after a warm email when there is no response and follow-up is appropriate.</w:t>
            </w:r>
          </w:p>
        </w:tc>
      </w:tr>
      <w:tr>
        <w:tc>
          <w:tcPr>
            <w:tcW w:type="dxa" w:w="5256"/>
            <w:vAlign w:val="top"/>
          </w:tcPr>
          <w:p>
            <w:r/>
            <w:r>
              <w:rPr>
                <w:rFonts w:ascii="Aptos" w:hAnsi="Aptos"/>
                <w:b/>
                <w:color w:val="334155"/>
                <w:sz w:val="17"/>
              </w:rPr>
              <w:t>Last reviewed</w:t>
            </w:r>
          </w:p>
        </w:tc>
        <w:tc>
          <w:tcPr>
            <w:tcW w:type="dxa" w:w="5256"/>
            <w:vAlign w:val="top"/>
          </w:tcPr>
          <w:p>
            <w:r/>
            <w:r>
              <w:rPr>
                <w:rFonts w:ascii="Aptos" w:hAnsi="Aptos"/>
                <w:b w:val="0"/>
                <w:color w:val="334155"/>
                <w:sz w:val="17"/>
              </w:rPr>
              <w:t>July 2026</w:t>
            </w:r>
          </w:p>
        </w:tc>
      </w:tr>
    </w:tbl>
    <w:p/>
    <w:p>
      <w:pPr>
        <w:pStyle w:val="Heading1"/>
      </w:pPr>
      <w:r>
        <w:rPr>
          <w:rFonts w:ascii="Aptos" w:hAnsi="Aptos"/>
          <w:b/>
          <w:color w:val="0B1F33"/>
          <w:sz w:val="32"/>
        </w:rPr>
        <w:t>Purpose</w:t>
      </w:r>
    </w:p>
    <w:p>
      <w:r>
        <w:rPr>
          <w:rFonts w:ascii="Aptos" w:hAnsi="Aptos"/>
          <w:b w:val="0"/>
          <w:color w:val="334155"/>
          <w:sz w:val="20"/>
        </w:rPr>
        <w:t>Use a short, respectful follow-up sequence that stays low pressure and stops when requested.</w:t>
      </w:r>
    </w:p>
    <w:p>
      <w:pPr>
        <w:pStyle w:val="Heading1"/>
      </w:pPr>
      <w:r>
        <w:rPr>
          <w:rFonts w:ascii="Aptos" w:hAnsi="Aptos"/>
          <w:b/>
          <w:color w:val="0B1F33"/>
          <w:sz w:val="32"/>
        </w:rPr>
        <w:t>How to use this resource</w:t>
      </w:r>
    </w:p>
    <w:p>
      <w:r>
        <w:rPr>
          <w:rFonts w:ascii="Aptos" w:hAnsi="Aptos"/>
          <w:b w:val="0"/>
          <w:color w:val="334155"/>
          <w:sz w:val="20"/>
        </w:rPr>
        <w:t>- Read the funnel first: Niche -&gt; Location -&gt; Lead List -&gt; Warm Email -&gt; Follow-Up -&gt; Discovery Call -&gt; Pilot.</w:t>
      </w:r>
    </w:p>
    <w:p>
      <w:r>
        <w:rPr>
          <w:rFonts w:ascii="Aptos" w:hAnsi="Aptos"/>
          <w:b w:val="0"/>
          <w:color w:val="334155"/>
          <w:sz w:val="20"/>
        </w:rPr>
        <w:t>- Replace bracketed fields with truthful, specific details.</w:t>
      </w:r>
    </w:p>
    <w:p>
      <w:r>
        <w:rPr>
          <w:rFonts w:ascii="Aptos" w:hAnsi="Aptos"/>
          <w:b w:val="0"/>
          <w:color w:val="334155"/>
          <w:sz w:val="20"/>
        </w:rPr>
        <w:t>- Use only public business information. Do not scrape private data or collect patient details.</w:t>
      </w:r>
    </w:p>
    <w:p>
      <w:r>
        <w:rPr>
          <w:rFonts w:ascii="Aptos" w:hAnsi="Aptos"/>
          <w:b w:val="0"/>
          <w:color w:val="334155"/>
          <w:sz w:val="20"/>
        </w:rPr>
        <w:t>- Keep outreach respectful, low-volume, and easy to decline.</w:t>
      </w:r>
    </w:p>
    <w:p>
      <w:r>
        <w:rPr>
          <w:rFonts w:ascii="Aptos" w:hAnsi="Aptos"/>
          <w:b w:val="0"/>
          <w:color w:val="334155"/>
          <w:sz w:val="20"/>
        </w:rPr>
        <w:t>- Track status and stop contacting anyone who asks not to be contacted.</w:t>
      </w:r>
    </w:p>
    <w:p>
      <w:pPr>
        <w:pStyle w:val="Heading1"/>
      </w:pPr>
      <w:r>
        <w:rPr>
          <w:rFonts w:ascii="Aptos" w:hAnsi="Aptos"/>
          <w:b/>
          <w:color w:val="0B1F33"/>
          <w:sz w:val="32"/>
        </w:rPr>
        <w:t>Respectful Follow-Up Timeline</w:t>
      </w:r>
    </w:p>
    <w:tbl>
      <w:tblPr>
        <w:tblStyle w:val="TableGrid"/>
        <w:tblW w:type="auto" w:w="0"/>
        <w:jc w:val="left"/>
        <w:tblLook w:firstColumn="1" w:firstRow="1" w:lastColumn="0" w:lastRow="0" w:noHBand="0" w:noVBand="1" w:val="04A0"/>
      </w:tblPr>
      <w:tblGrid>
        <w:gridCol w:w="3504"/>
        <w:gridCol w:w="3504"/>
        <w:gridCol w:w="3504"/>
      </w:tblGrid>
      <w:tr>
        <w:tc>
          <w:tcPr>
            <w:tcW w:type="dxa" w:w="3504"/>
            <w:vAlign w:val="top"/>
            <w:shd w:fill="0B1F33"/>
          </w:tcPr>
          <w:p>
            <w:r/>
            <w:r>
              <w:rPr>
                <w:rFonts w:ascii="Aptos" w:hAnsi="Aptos"/>
                <w:b/>
                <w:color w:val="FFFFFF"/>
                <w:sz w:val="17"/>
              </w:rPr>
              <w:t>Touch</w:t>
            </w:r>
          </w:p>
        </w:tc>
        <w:tc>
          <w:tcPr>
            <w:tcW w:type="dxa" w:w="3504"/>
            <w:vAlign w:val="top"/>
            <w:shd w:fill="0B1F33"/>
          </w:tcPr>
          <w:p>
            <w:r/>
            <w:r>
              <w:rPr>
                <w:rFonts w:ascii="Aptos" w:hAnsi="Aptos"/>
                <w:b/>
                <w:color w:val="FFFFFF"/>
                <w:sz w:val="17"/>
              </w:rPr>
              <w:t>Suggested timing</w:t>
            </w:r>
          </w:p>
        </w:tc>
        <w:tc>
          <w:tcPr>
            <w:tcW w:type="dxa" w:w="3504"/>
            <w:vAlign w:val="top"/>
            <w:shd w:fill="0B1F33"/>
          </w:tcPr>
          <w:p>
            <w:r/>
            <w:r>
              <w:rPr>
                <w:rFonts w:ascii="Aptos" w:hAnsi="Aptos"/>
                <w:b/>
                <w:color w:val="FFFFFF"/>
                <w:sz w:val="17"/>
              </w:rPr>
              <w:t>Goal</w:t>
            </w:r>
          </w:p>
        </w:tc>
      </w:tr>
      <w:tr>
        <w:tc>
          <w:tcPr>
            <w:tcW w:type="dxa" w:w="3504"/>
            <w:vAlign w:val="top"/>
          </w:tcPr>
          <w:p>
            <w:r/>
            <w:r>
              <w:rPr>
                <w:rFonts w:ascii="Aptos" w:hAnsi="Aptos"/>
                <w:b/>
                <w:color w:val="334155"/>
                <w:sz w:val="17"/>
              </w:rPr>
              <w:t>Initial email</w:t>
            </w:r>
          </w:p>
        </w:tc>
        <w:tc>
          <w:tcPr>
            <w:tcW w:type="dxa" w:w="3504"/>
            <w:vAlign w:val="top"/>
          </w:tcPr>
          <w:p>
            <w:r/>
            <w:r>
              <w:rPr>
                <w:rFonts w:ascii="Aptos" w:hAnsi="Aptos"/>
                <w:b w:val="0"/>
                <w:color w:val="334155"/>
                <w:sz w:val="17"/>
              </w:rPr>
              <w:t>Day 1</w:t>
            </w:r>
          </w:p>
        </w:tc>
        <w:tc>
          <w:tcPr>
            <w:tcW w:type="dxa" w:w="3504"/>
            <w:vAlign w:val="top"/>
          </w:tcPr>
          <w:p>
            <w:r/>
            <w:r>
              <w:rPr>
                <w:rFonts w:ascii="Aptos" w:hAnsi="Aptos"/>
                <w:b w:val="0"/>
                <w:color w:val="334155"/>
                <w:sz w:val="17"/>
              </w:rPr>
              <w:t>Introduce one focused support offer</w:t>
            </w:r>
          </w:p>
        </w:tc>
      </w:tr>
      <w:tr>
        <w:tc>
          <w:tcPr>
            <w:tcW w:type="dxa" w:w="3504"/>
            <w:vAlign w:val="top"/>
          </w:tcPr>
          <w:p>
            <w:r/>
            <w:r>
              <w:rPr>
                <w:rFonts w:ascii="Aptos" w:hAnsi="Aptos"/>
                <w:b/>
                <w:color w:val="334155"/>
                <w:sz w:val="17"/>
              </w:rPr>
              <w:t>Follow-up 1</w:t>
            </w:r>
          </w:p>
        </w:tc>
        <w:tc>
          <w:tcPr>
            <w:tcW w:type="dxa" w:w="3504"/>
            <w:vAlign w:val="top"/>
          </w:tcPr>
          <w:p>
            <w:r/>
            <w:r>
              <w:rPr>
                <w:rFonts w:ascii="Aptos" w:hAnsi="Aptos"/>
                <w:b w:val="0"/>
                <w:color w:val="334155"/>
                <w:sz w:val="17"/>
              </w:rPr>
              <w:t>Day 3</w:t>
            </w:r>
          </w:p>
        </w:tc>
        <w:tc>
          <w:tcPr>
            <w:tcW w:type="dxa" w:w="3504"/>
            <w:vAlign w:val="top"/>
          </w:tcPr>
          <w:p>
            <w:r/>
            <w:r>
              <w:rPr>
                <w:rFonts w:ascii="Aptos" w:hAnsi="Aptos"/>
                <w:b w:val="0"/>
                <w:color w:val="334155"/>
                <w:sz w:val="17"/>
              </w:rPr>
              <w:t>Ask if the workflow is relevant</w:t>
            </w:r>
          </w:p>
        </w:tc>
      </w:tr>
      <w:tr>
        <w:tc>
          <w:tcPr>
            <w:tcW w:type="dxa" w:w="3504"/>
            <w:vAlign w:val="top"/>
          </w:tcPr>
          <w:p>
            <w:r/>
            <w:r>
              <w:rPr>
                <w:rFonts w:ascii="Aptos" w:hAnsi="Aptos"/>
                <w:b/>
                <w:color w:val="334155"/>
                <w:sz w:val="17"/>
              </w:rPr>
              <w:t>Follow-up 2</w:t>
            </w:r>
          </w:p>
        </w:tc>
        <w:tc>
          <w:tcPr>
            <w:tcW w:type="dxa" w:w="3504"/>
            <w:vAlign w:val="top"/>
          </w:tcPr>
          <w:p>
            <w:r/>
            <w:r>
              <w:rPr>
                <w:rFonts w:ascii="Aptos" w:hAnsi="Aptos"/>
                <w:b w:val="0"/>
                <w:color w:val="334155"/>
                <w:sz w:val="17"/>
              </w:rPr>
              <w:t>Day 7</w:t>
            </w:r>
          </w:p>
        </w:tc>
        <w:tc>
          <w:tcPr>
            <w:tcW w:type="dxa" w:w="3504"/>
            <w:vAlign w:val="top"/>
          </w:tcPr>
          <w:p>
            <w:r/>
            <w:r>
              <w:rPr>
                <w:rFonts w:ascii="Aptos" w:hAnsi="Aptos"/>
                <w:b w:val="0"/>
                <w:color w:val="334155"/>
                <w:sz w:val="17"/>
              </w:rPr>
              <w:t>Mention one specific support area</w:t>
            </w:r>
          </w:p>
        </w:tc>
      </w:tr>
      <w:tr>
        <w:tc>
          <w:tcPr>
            <w:tcW w:type="dxa" w:w="3504"/>
            <w:vAlign w:val="top"/>
          </w:tcPr>
          <w:p>
            <w:r/>
            <w:r>
              <w:rPr>
                <w:rFonts w:ascii="Aptos" w:hAnsi="Aptos"/>
                <w:b/>
                <w:color w:val="334155"/>
                <w:sz w:val="17"/>
              </w:rPr>
              <w:t>Follow-up 3 / close loop</w:t>
            </w:r>
          </w:p>
        </w:tc>
        <w:tc>
          <w:tcPr>
            <w:tcW w:type="dxa" w:w="3504"/>
            <w:vAlign w:val="top"/>
          </w:tcPr>
          <w:p>
            <w:r/>
            <w:r>
              <w:rPr>
                <w:rFonts w:ascii="Aptos" w:hAnsi="Aptos"/>
                <w:b w:val="0"/>
                <w:color w:val="334155"/>
                <w:sz w:val="17"/>
              </w:rPr>
              <w:t>Day 14</w:t>
            </w:r>
          </w:p>
        </w:tc>
        <w:tc>
          <w:tcPr>
            <w:tcW w:type="dxa" w:w="3504"/>
            <w:vAlign w:val="top"/>
          </w:tcPr>
          <w:p>
            <w:r/>
            <w:r>
              <w:rPr>
                <w:rFonts w:ascii="Aptos" w:hAnsi="Aptos"/>
                <w:b w:val="0"/>
                <w:color w:val="334155"/>
                <w:sz w:val="17"/>
              </w:rPr>
              <w:t>Politely close the loop and leave the door open</w:t>
            </w:r>
          </w:p>
        </w:tc>
      </w:tr>
      <w:tr>
        <w:tc>
          <w:tcPr>
            <w:tcW w:type="dxa" w:w="3504"/>
            <w:vAlign w:val="top"/>
          </w:tcPr>
          <w:p>
            <w:r/>
            <w:r>
              <w:rPr>
                <w:rFonts w:ascii="Aptos" w:hAnsi="Aptos"/>
                <w:b/>
                <w:color w:val="334155"/>
                <w:sz w:val="17"/>
              </w:rPr>
              <w:t>Revisit</w:t>
            </w:r>
          </w:p>
        </w:tc>
        <w:tc>
          <w:tcPr>
            <w:tcW w:type="dxa" w:w="3504"/>
            <w:vAlign w:val="top"/>
          </w:tcPr>
          <w:p>
            <w:r/>
            <w:r>
              <w:rPr>
                <w:rFonts w:ascii="Aptos" w:hAnsi="Aptos"/>
                <w:b w:val="0"/>
                <w:color w:val="334155"/>
                <w:sz w:val="17"/>
              </w:rPr>
              <w:t>Day 30+</w:t>
            </w:r>
          </w:p>
        </w:tc>
        <w:tc>
          <w:tcPr>
            <w:tcW w:type="dxa" w:w="3504"/>
            <w:vAlign w:val="top"/>
          </w:tcPr>
          <w:p>
            <w:r/>
            <w:r>
              <w:rPr>
                <w:rFonts w:ascii="Aptos" w:hAnsi="Aptos"/>
                <w:b w:val="0"/>
                <w:color w:val="334155"/>
                <w:sz w:val="17"/>
              </w:rPr>
              <w:t>Only if you have a new reason or fresh angle</w:t>
            </w:r>
          </w:p>
        </w:tc>
      </w:tr>
    </w:tbl>
    <w:p/>
    <w:p/>
    <w:p>
      <w:pPr>
        <w:pStyle w:val="Heading1"/>
      </w:pPr>
      <w:r>
        <w:rPr>
          <w:rFonts w:ascii="Aptos" w:hAnsi="Aptos"/>
          <w:b/>
          <w:color w:val="0B1F33"/>
          <w:sz w:val="32"/>
        </w:rPr>
        <w:t>Follow-Up Email Template 1</w:t>
      </w:r>
    </w:p>
    <w:p>
      <w:r>
        <w:rPr>
          <w:rFonts w:ascii="Aptos" w:hAnsi="Aptos"/>
          <w:b w:val="0"/>
          <w:color w:val="334155"/>
          <w:sz w:val="20"/>
        </w:rPr>
        <w:t>Subject: Re: [ORIGINAL SUBJECT]</w:t>
      </w:r>
    </w:p>
    <w:p>
      <w:r>
        <w:rPr>
          <w:rFonts w:ascii="Aptos" w:hAnsi="Aptos"/>
          <w:b w:val="0"/>
          <w:color w:val="334155"/>
          <w:sz w:val="20"/>
        </w:rPr>
        <w:t>Hi [CONTACT NAME / OFFICE TEAM],</w:t>
      </w:r>
    </w:p>
    <w:p>
      <w:r>
        <w:rPr>
          <w:rFonts w:ascii="Aptos" w:hAnsi="Aptos"/>
          <w:b w:val="0"/>
          <w:color w:val="334155"/>
          <w:sz w:val="20"/>
        </w:rPr>
        <w:t>Just checking if support with [ONE WORKFLOW] is something your team is reviewing right now. No pressure if not - I wanted to make sure my earlier message did not get buried.</w:t>
      </w:r>
    </w:p>
    <w:p>
      <w:r>
        <w:rPr>
          <w:rFonts w:ascii="Aptos" w:hAnsi="Aptos"/>
          <w:b w:val="0"/>
          <w:color w:val="334155"/>
          <w:sz w:val="20"/>
        </w:rPr>
        <w:t>Would it be helpful if I sent a short overview focused only on [AR FOLLOW-UP / VERIFICATION / AUTH TRACKING / DENIAL ORGANIZATION]?</w:t>
      </w:r>
    </w:p>
    <w:p>
      <w:r>
        <w:rPr>
          <w:rFonts w:ascii="Aptos" w:hAnsi="Aptos"/>
          <w:b w:val="0"/>
          <w:color w:val="334155"/>
          <w:sz w:val="20"/>
        </w:rPr>
        <w:t>Thank you,</w:t>
        <w:br/>
        <w:t>[YOUR NAME]</w:t>
      </w:r>
    </w:p>
    <w:p/>
    <w:p>
      <w:pPr>
        <w:pStyle w:val="Heading1"/>
      </w:pPr>
      <w:r>
        <w:rPr>
          <w:rFonts w:ascii="Aptos" w:hAnsi="Aptos"/>
          <w:b/>
          <w:color w:val="0B1F33"/>
          <w:sz w:val="32"/>
        </w:rPr>
        <w:t>Follow-Up Email Template 2</w:t>
      </w:r>
    </w:p>
    <w:p>
      <w:r>
        <w:rPr>
          <w:rFonts w:ascii="Aptos" w:hAnsi="Aptos"/>
          <w:b w:val="0"/>
          <w:color w:val="334155"/>
          <w:sz w:val="20"/>
        </w:rPr>
        <w:t>Subject: Re: [ORIGINAL SUBJECT]</w:t>
      </w:r>
    </w:p>
    <w:p>
      <w:r>
        <w:rPr>
          <w:rFonts w:ascii="Aptos" w:hAnsi="Aptos"/>
          <w:b w:val="0"/>
          <w:color w:val="334155"/>
          <w:sz w:val="20"/>
        </w:rPr>
        <w:t>Hi [CONTACT NAME / OFFICE TEAM],</w:t>
      </w:r>
    </w:p>
    <w:p>
      <w:r>
        <w:rPr>
          <w:rFonts w:ascii="Aptos" w:hAnsi="Aptos"/>
          <w:b w:val="0"/>
          <w:color w:val="334155"/>
          <w:sz w:val="20"/>
        </w:rPr>
        <w:t>One small area I can help organize is [SPECIFIC WORKFLOW], such as [TRACKING / PAYER CALL NOTES / STATUS UPDATES / NEXT ACTION LISTS].</w:t>
      </w:r>
    </w:p>
    <w:p>
      <w:r>
        <w:rPr>
          <w:rFonts w:ascii="Aptos" w:hAnsi="Aptos"/>
          <w:b w:val="0"/>
          <w:color w:val="334155"/>
          <w:sz w:val="20"/>
        </w:rPr>
        <w:t>If this is not a current need, no worries. Is there a better person or time to check back?</w:t>
      </w:r>
    </w:p>
    <w:p>
      <w:r>
        <w:rPr>
          <w:rFonts w:ascii="Aptos" w:hAnsi="Aptos"/>
          <w:b w:val="0"/>
          <w:color w:val="334155"/>
          <w:sz w:val="20"/>
        </w:rPr>
        <w:t>Thank you,</w:t>
        <w:br/>
        <w:t>[YOUR NAME]</w:t>
      </w:r>
    </w:p>
    <w:p/>
    <w:p>
      <w:pPr>
        <w:pStyle w:val="Heading1"/>
      </w:pPr>
      <w:r>
        <w:rPr>
          <w:rFonts w:ascii="Aptos" w:hAnsi="Aptos"/>
          <w:b/>
          <w:color w:val="0B1F33"/>
          <w:sz w:val="32"/>
        </w:rPr>
        <w:t>Close-Loop Follow-Up Template</w:t>
      </w:r>
    </w:p>
    <w:p>
      <w:r>
        <w:rPr>
          <w:rFonts w:ascii="Aptos" w:hAnsi="Aptos"/>
          <w:b w:val="0"/>
          <w:color w:val="334155"/>
          <w:sz w:val="20"/>
        </w:rPr>
        <w:t>Subject: Closing the loop</w:t>
      </w:r>
    </w:p>
    <w:p>
      <w:r>
        <w:rPr>
          <w:rFonts w:ascii="Aptos" w:hAnsi="Aptos"/>
          <w:b w:val="0"/>
          <w:color w:val="334155"/>
          <w:sz w:val="20"/>
        </w:rPr>
        <w:t>Hi [CONTACT NAME / OFFICE TEAM],</w:t>
      </w:r>
    </w:p>
    <w:p>
      <w:r>
        <w:rPr>
          <w:rFonts w:ascii="Aptos" w:hAnsi="Aptos"/>
          <w:b w:val="0"/>
          <w:color w:val="334155"/>
          <w:sz w:val="20"/>
        </w:rPr>
        <w:t>I will close the loop for now. Thank you for your time. If your team later needs remote support with [ONE WORKFLOW], I would be happy to send a short overview or discuss a small pilot.</w:t>
      </w:r>
    </w:p>
    <w:p>
      <w:r>
        <w:rPr>
          <w:rFonts w:ascii="Aptos" w:hAnsi="Aptos"/>
          <w:b w:val="0"/>
          <w:color w:val="334155"/>
          <w:sz w:val="20"/>
        </w:rPr>
        <w:t>Respectfully,</w:t>
        <w:br/>
        <w:t>[YOUR NAME]</w:t>
      </w:r>
    </w:p>
    <w:p/>
    <w:p>
      <w:pPr>
        <w:pStyle w:val="Heading1"/>
      </w:pPr>
      <w:r>
        <w:rPr>
          <w:rFonts w:ascii="Aptos" w:hAnsi="Aptos"/>
          <w:b/>
          <w:color w:val="0B1F33"/>
          <w:sz w:val="32"/>
        </w:rPr>
        <w:t>Stop Conditions</w:t>
      </w:r>
    </w:p>
    <w:p>
      <w:r>
        <w:rPr>
          <w:rFonts w:ascii="Aptos" w:hAnsi="Aptos"/>
          <w:b w:val="0"/>
          <w:color w:val="334155"/>
          <w:sz w:val="20"/>
        </w:rPr>
        <w:t>[ ] Stop immediately if the clinic asks not to be contacted.</w:t>
      </w:r>
    </w:p>
    <w:p>
      <w:r>
        <w:rPr>
          <w:rFonts w:ascii="Aptos" w:hAnsi="Aptos"/>
          <w:b w:val="0"/>
          <w:color w:val="334155"/>
          <w:sz w:val="20"/>
        </w:rPr>
        <w:t>[ ] Do not keep sending messages after a clear no.</w:t>
      </w:r>
    </w:p>
    <w:p>
      <w:r>
        <w:rPr>
          <w:rFonts w:ascii="Aptos" w:hAnsi="Aptos"/>
          <w:b w:val="0"/>
          <w:color w:val="334155"/>
          <w:sz w:val="20"/>
        </w:rPr>
        <w:t>[ ] Do not switch to personal contact channels unless publicly listed for business use.</w:t>
      </w:r>
    </w:p>
    <w:p>
      <w:r>
        <w:rPr>
          <w:rFonts w:ascii="Aptos" w:hAnsi="Aptos"/>
          <w:b w:val="0"/>
          <w:color w:val="334155"/>
          <w:sz w:val="20"/>
        </w:rPr>
        <w:t>[ ] Do not send mass identical follow-ups.</w:t>
      </w:r>
    </w:p>
    <w:p/>
    <w:p>
      <w:pPr>
        <w:pStyle w:val="Heading1"/>
      </w:pPr>
      <w:r>
        <w:rPr>
          <w:rFonts w:ascii="Aptos" w:hAnsi="Aptos"/>
          <w:b/>
          <w:color w:val="0B1F33"/>
          <w:sz w:val="32"/>
        </w:rPr>
        <w:t>Common Beginner Mistakes</w:t>
      </w:r>
    </w:p>
    <w:p>
      <w:r>
        <w:rPr>
          <w:rFonts w:ascii="Aptos" w:hAnsi="Aptos"/>
          <w:b w:val="0"/>
          <w:color w:val="334155"/>
          <w:sz w:val="20"/>
        </w:rPr>
        <w:t>[ ] Sending the same message to every clinic without personalization.</w:t>
      </w:r>
    </w:p>
    <w:p>
      <w:r>
        <w:rPr>
          <w:rFonts w:ascii="Aptos" w:hAnsi="Aptos"/>
          <w:b w:val="0"/>
          <w:color w:val="334155"/>
          <w:sz w:val="20"/>
        </w:rPr>
        <w:t>[ ] Claiming broad expertise instead of one focused healthcare admin offer.</w:t>
      </w:r>
    </w:p>
    <w:p>
      <w:r>
        <w:rPr>
          <w:rFonts w:ascii="Aptos" w:hAnsi="Aptos"/>
          <w:b w:val="0"/>
          <w:color w:val="334155"/>
          <w:sz w:val="20"/>
        </w:rPr>
        <w:t>[ ] Using real patient, payer, clinic, account, or login information in practice.</w:t>
      </w:r>
    </w:p>
    <w:p>
      <w:r>
        <w:rPr>
          <w:rFonts w:ascii="Aptos" w:hAnsi="Aptos"/>
          <w:b w:val="0"/>
          <w:color w:val="334155"/>
          <w:sz w:val="20"/>
        </w:rPr>
        <w:t>[ ] Pressuring a clinic after they do not reply or ask not to be contacted.</w:t>
      </w:r>
    </w:p>
    <w:p>
      <w:r>
        <w:rPr>
          <w:rFonts w:ascii="Aptos" w:hAnsi="Aptos"/>
          <w:b w:val="0"/>
          <w:color w:val="334155"/>
          <w:sz w:val="20"/>
        </w:rPr>
        <w:t>[ ] Discussing pricing, scope, or access before understanding the workflow need.</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Safe Practice Reminder</w:t>
            </w:r>
          </w:p>
        </w:tc>
      </w:tr>
      <w:tr>
        <w:tc>
          <w:tcPr>
            <w:tcW w:type="dxa" w:w="10512"/>
            <w:shd w:fill="DDF7EF"/>
          </w:tcPr>
          <w:p>
            <w:r>
              <w:rPr>
                <w:rFonts w:ascii="Aptos" w:hAnsi="Aptos"/>
                <w:b w:val="0"/>
                <w:color w:val="0B1F33"/>
                <w:sz w:val="18"/>
              </w:rPr>
              <w:t>Practice with fictional clinic names, example.com email addresses, and public business information only. Keep outreach respectful, low-volume, and truthful.</w:t>
            </w:r>
          </w:p>
        </w:tc>
      </w:tr>
    </w:tbl>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No-PHI Practice Reminder</w:t>
            </w:r>
          </w:p>
        </w:tc>
      </w:tr>
      <w:tr>
        <w:tc>
          <w:tcPr>
            <w:tcW w:type="dxa" w:w="10512"/>
            <w:shd w:fill="DDF7EF"/>
          </w:tcPr>
          <w:p>
            <w:r>
              <w:rPr>
                <w:rFonts w:ascii="Aptos" w:hAnsi="Aptos"/>
                <w:b w:val="0"/>
                <w:color w:val="0B1F33"/>
                <w:sz w:val="18"/>
              </w:rP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p>
      <w:pPr>
        <w:pStyle w:val="Heading1"/>
      </w:pPr>
      <w:r>
        <w:rPr>
          <w:rFonts w:ascii="Aptos" w:hAnsi="Aptos"/>
          <w:b/>
          <w:color w:val="0B1F33"/>
          <w:sz w:val="32"/>
        </w:rPr>
        <w:t>Educational Use Only</w:t>
      </w:r>
    </w:p>
    <w:p>
      <w:r>
        <w:rPr>
          <w:rFonts w:ascii="Aptos" w:hAnsi="Aptos"/>
          <w:b w:val="0"/>
          <w:color w:val="334155"/>
          <w:sz w:val="20"/>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1"/>
      </w:pPr>
      <w:r>
        <w:rPr>
          <w:rFonts w:ascii="Aptos" w:hAnsi="Aptos"/>
          <w:b/>
          <w:color w:val="0B1F33"/>
          <w:sz w:val="32"/>
        </w:rPr>
        <w:t>Source/review note</w:t>
      </w:r>
    </w:p>
    <w:p>
      <w:r>
        <w:rPr>
          <w:rFonts w:ascii="Aptos" w:hAnsi="Aptos"/>
          <w:b w:val="0"/>
          <w:color w:val="334155"/>
          <w:sz w:val="20"/>
        </w:rPr>
        <w:t>This resource is for educational and business-planning use only. It does not guarantee employment, client acquisition, income, or contract approval. Keep all claims truthful and verify privacy, business, email, and client-contract requirements before use.</w:t>
      </w:r>
    </w:p>
    <w:tbl>
      <w:tblPr>
        <w:tblStyle w:val="TableGrid"/>
        <w:tblW w:type="auto" w:w="0"/>
        <w:tblLook w:firstColumn="1" w:firstRow="1" w:lastColumn="0" w:lastRow="0" w:noHBand="0" w:noVBand="1" w:val="04A0"/>
      </w:tblPr>
      <w:tblGrid>
        <w:gridCol w:w="10512"/>
      </w:tblGrid>
      <w:tr>
        <w:tc>
          <w:tcPr>
            <w:tcW w:type="dxa" w:w="10512"/>
            <w:shd w:fill="EAF7F4"/>
          </w:tcPr>
          <w:p>
            <w:r>
              <w:rPr>
                <w:rFonts w:ascii="Aptos" w:hAnsi="Aptos"/>
                <w:b/>
                <w:color w:val="0B1F33"/>
                <w:sz w:val="22"/>
              </w:rPr>
              <w:t>Recommended Next Step</w:t>
            </w:r>
          </w:p>
        </w:tc>
      </w:tr>
      <w:tr>
        <w:tc>
          <w:tcPr>
            <w:tcW w:type="dxa" w:w="10512"/>
            <w:shd w:fill="DDF7EF"/>
          </w:tcPr>
          <w:p>
            <w:r>
              <w:rPr>
                <w:rFonts w:ascii="Aptos" w:hAnsi="Aptos"/>
                <w:b w:val="0"/>
                <w:color w:val="0B1F33"/>
                <w:sz w:val="18"/>
              </w:rPr>
              <w:t>After sending a follow-up, update the Lead List Tracker with touch number, date sent, reply status, and next action.</w:t>
            </w:r>
          </w:p>
        </w:tc>
      </w:tr>
    </w:tbl>
    <w:p/>
    <w:sectPr w:rsidR="00FC693F" w:rsidRPr="0006063C" w:rsidSect="00034616">
      <w:headerReference w:type="default" r:id="rId9"/>
      <w:footerReference w:type="default" r:id="rId10"/>
      <w:pgSz w:w="12240" w:h="15840"/>
      <w:pgMar w:top="792" w:right="864" w:bottom="79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ptos" w:hAnsi="Aptos"/>
        <w:b w:val="0"/>
        <w:color w:val="334155"/>
        <w:sz w:val="14"/>
      </w:rPr>
      <w:t>RisenFynix | MVA Simplified - Healthcare VA Learning Hub | 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rFonts w:ascii="Aptos" w:hAnsi="Aptos"/>
        <w:b w:val="0"/>
        <w:color w:val="0B1F3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Follow-Up Email Template</dc:title>
  <dc:subject>RisenFynix / MVA Simplified downloadable resource</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