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ptos" w:hAnsi="Aptos"/>
          <w:b w:val="0"/>
          <w:color w:val="334155"/>
          <w:sz w:val="20"/>
        </w:rPr>
        <w:t>RisenFynix / MVA Simplified</w:t>
      </w:r>
    </w:p>
    <w:p>
      <w:pPr>
        <w:pStyle w:val="Heading2"/>
      </w:pPr>
      <w:r>
        <w:rPr>
          <w:rFonts w:ascii="Aptos" w:hAnsi="Aptos"/>
          <w:b/>
          <w:color w:val="0F766E"/>
          <w:sz w:val="26"/>
        </w:rPr>
        <w:t>Healthcare VA Learning Hub</w:t>
      </w:r>
    </w:p>
    <w:p>
      <w:pPr>
        <w:pStyle w:val="Heading1"/>
      </w:pPr>
      <w:r>
        <w:rPr>
          <w:rFonts w:ascii="Aptos" w:hAnsi="Aptos"/>
          <w:b/>
          <w:color w:val="0B1F33"/>
          <w:sz w:val="32"/>
        </w:rPr>
        <w:t>Professional Reply Template</w:t>
      </w:r>
    </w:p>
    <w:tbl>
      <w:tblPr>
        <w:tblStyle w:val="TableGrid"/>
        <w:tblW w:type="auto" w:w="0"/>
        <w:jc w:val="left"/>
        <w:tblLook w:firstColumn="1" w:firstRow="1" w:lastColumn="0" w:lastRow="0" w:noHBand="0" w:noVBand="1" w:val="04A0"/>
      </w:tblPr>
      <w:tblGrid>
        <w:gridCol w:w="5256"/>
        <w:gridCol w:w="5256"/>
      </w:tblGrid>
      <w:tr>
        <w:tc>
          <w:tcPr>
            <w:tcW w:type="dxa" w:w="5256"/>
            <w:vAlign w:val="top"/>
            <w:shd w:fill="0B1F33"/>
          </w:tcPr>
          <w:p>
            <w:r/>
            <w:r>
              <w:rPr>
                <w:rFonts w:ascii="Aptos" w:hAnsi="Aptos"/>
                <w:b/>
                <w:color w:val="FFFFFF"/>
                <w:sz w:val="17"/>
              </w:rPr>
              <w:t>Field</w:t>
            </w:r>
          </w:p>
        </w:tc>
        <w:tc>
          <w:tcPr>
            <w:tcW w:type="dxa" w:w="5256"/>
            <w:vAlign w:val="top"/>
            <w:shd w:fill="0B1F33"/>
          </w:tcPr>
          <w:p>
            <w:r/>
            <w:r>
              <w:rPr>
                <w:rFonts w:ascii="Aptos" w:hAnsi="Aptos"/>
                <w:b/>
                <w:color w:val="FFFFFF"/>
                <w:sz w:val="17"/>
              </w:rPr>
              <w:t>Details</w:t>
            </w:r>
          </w:p>
        </w:tc>
      </w:tr>
      <w:tr>
        <w:tc>
          <w:tcPr>
            <w:tcW w:type="dxa" w:w="5256"/>
            <w:vAlign w:val="top"/>
          </w:tcPr>
          <w:p>
            <w:r/>
            <w:r>
              <w:rPr>
                <w:rFonts w:ascii="Aptos" w:hAnsi="Aptos"/>
                <w:b/>
                <w:color w:val="334155"/>
                <w:sz w:val="17"/>
              </w:rPr>
              <w:t>Resource Type</w:t>
            </w:r>
          </w:p>
        </w:tc>
        <w:tc>
          <w:tcPr>
            <w:tcW w:type="dxa" w:w="5256"/>
            <w:vAlign w:val="top"/>
          </w:tcPr>
          <w:p>
            <w:r/>
            <w:r>
              <w:rPr>
                <w:rFonts w:ascii="Aptos" w:hAnsi="Aptos"/>
                <w:b w:val="0"/>
                <w:color w:val="334155"/>
                <w:sz w:val="17"/>
              </w:rPr>
              <w:t>Template</w:t>
            </w:r>
          </w:p>
        </w:tc>
      </w:tr>
      <w:tr>
        <w:tc>
          <w:tcPr>
            <w:tcW w:type="dxa" w:w="5256"/>
            <w:vAlign w:val="top"/>
          </w:tcPr>
          <w:p>
            <w:r/>
            <w:r>
              <w:rPr>
                <w:rFonts w:ascii="Aptos" w:hAnsi="Aptos"/>
                <w:b/>
                <w:color w:val="334155"/>
                <w:sz w:val="17"/>
              </w:rPr>
              <w:t>Who it is for</w:t>
            </w:r>
          </w:p>
        </w:tc>
        <w:tc>
          <w:tcPr>
            <w:tcW w:type="dxa" w:w="5256"/>
            <w:vAlign w:val="top"/>
          </w:tcPr>
          <w:p>
            <w:r/>
            <w:r>
              <w:rPr>
                <w:rFonts w:ascii="Aptos" w:hAnsi="Aptos"/>
                <w:b w:val="0"/>
                <w:color w:val="334155"/>
                <w:sz w:val="17"/>
              </w:rPr>
              <w:t>Aspiring Medical VAs, Medical Billers, AR follow-up specialists, and healthcare admin learners preparing respectful direct-client outreach.</w:t>
            </w:r>
          </w:p>
        </w:tc>
      </w:tr>
      <w:tr>
        <w:tc>
          <w:tcPr>
            <w:tcW w:type="dxa" w:w="5256"/>
            <w:vAlign w:val="top"/>
          </w:tcPr>
          <w:p>
            <w:r/>
            <w:r>
              <w:rPr>
                <w:rFonts w:ascii="Aptos" w:hAnsi="Aptos"/>
                <w:b/>
                <w:color w:val="334155"/>
                <w:sz w:val="17"/>
              </w:rPr>
              <w:t>When to use it</w:t>
            </w:r>
          </w:p>
        </w:tc>
        <w:tc>
          <w:tcPr>
            <w:tcW w:type="dxa" w:w="5256"/>
            <w:vAlign w:val="top"/>
          </w:tcPr>
          <w:p>
            <w:r/>
            <w:r>
              <w:rPr>
                <w:rFonts w:ascii="Aptos" w:hAnsi="Aptos"/>
                <w:b w:val="0"/>
                <w:color w:val="334155"/>
                <w:sz w:val="17"/>
              </w:rPr>
              <w:t>Use when a clinic replies with interest, questions, objections, rejection, or a request for details.</w:t>
            </w:r>
          </w:p>
        </w:tc>
      </w:tr>
      <w:tr>
        <w:tc>
          <w:tcPr>
            <w:tcW w:type="dxa" w:w="5256"/>
            <w:vAlign w:val="top"/>
          </w:tcPr>
          <w:p>
            <w:r/>
            <w:r>
              <w:rPr>
                <w:rFonts w:ascii="Aptos" w:hAnsi="Aptos"/>
                <w:b/>
                <w:color w:val="334155"/>
                <w:sz w:val="17"/>
              </w:rPr>
              <w:t>Last reviewed</w:t>
            </w:r>
          </w:p>
        </w:tc>
        <w:tc>
          <w:tcPr>
            <w:tcW w:type="dxa" w:w="5256"/>
            <w:vAlign w:val="top"/>
          </w:tcPr>
          <w:p>
            <w:r/>
            <w:r>
              <w:rPr>
                <w:rFonts w:ascii="Aptos" w:hAnsi="Aptos"/>
                <w:b w:val="0"/>
                <w:color w:val="334155"/>
                <w:sz w:val="17"/>
              </w:rPr>
              <w:t>July 2026</w:t>
            </w:r>
          </w:p>
        </w:tc>
      </w:tr>
    </w:tbl>
    <w:p/>
    <w:p>
      <w:pPr>
        <w:pStyle w:val="Heading1"/>
      </w:pPr>
      <w:r>
        <w:rPr>
          <w:rFonts w:ascii="Aptos" w:hAnsi="Aptos"/>
          <w:b/>
          <w:color w:val="0B1F33"/>
          <w:sz w:val="32"/>
        </w:rPr>
        <w:t>Purpose</w:t>
      </w:r>
    </w:p>
    <w:p>
      <w:r>
        <w:rPr>
          <w:rFonts w:ascii="Aptos" w:hAnsi="Aptos"/>
          <w:b w:val="0"/>
          <w:color w:val="334155"/>
          <w:sz w:val="20"/>
        </w:rPr>
        <w:t>Respond calmly, truthfully, and professionally without overpromising or discussing private patient details.</w:t>
      </w:r>
    </w:p>
    <w:p>
      <w:pPr>
        <w:pStyle w:val="Heading1"/>
      </w:pPr>
      <w:r>
        <w:rPr>
          <w:rFonts w:ascii="Aptos" w:hAnsi="Aptos"/>
          <w:b/>
          <w:color w:val="0B1F33"/>
          <w:sz w:val="32"/>
        </w:rPr>
        <w:t>How to use this resource</w:t>
      </w:r>
    </w:p>
    <w:p>
      <w:r>
        <w:rPr>
          <w:rFonts w:ascii="Aptos" w:hAnsi="Aptos"/>
          <w:b w:val="0"/>
          <w:color w:val="334155"/>
          <w:sz w:val="20"/>
        </w:rPr>
        <w:t>- Read the funnel first: Niche -&gt; Location -&gt; Lead List -&gt; Warm Email -&gt; Follow-Up -&gt; Discovery Call -&gt; Pilot.</w:t>
      </w:r>
    </w:p>
    <w:p>
      <w:r>
        <w:rPr>
          <w:rFonts w:ascii="Aptos" w:hAnsi="Aptos"/>
          <w:b w:val="0"/>
          <w:color w:val="334155"/>
          <w:sz w:val="20"/>
        </w:rPr>
        <w:t>- Replace bracketed fields with truthful, specific details.</w:t>
      </w:r>
    </w:p>
    <w:p>
      <w:r>
        <w:rPr>
          <w:rFonts w:ascii="Aptos" w:hAnsi="Aptos"/>
          <w:b w:val="0"/>
          <w:color w:val="334155"/>
          <w:sz w:val="20"/>
        </w:rPr>
        <w:t>- Use only public business information. Do not scrape private data or collect patient details.</w:t>
      </w:r>
    </w:p>
    <w:p>
      <w:r>
        <w:rPr>
          <w:rFonts w:ascii="Aptos" w:hAnsi="Aptos"/>
          <w:b w:val="0"/>
          <w:color w:val="334155"/>
          <w:sz w:val="20"/>
        </w:rPr>
        <w:t>- Keep outreach respectful, low-volume, and easy to decline.</w:t>
      </w:r>
    </w:p>
    <w:p>
      <w:r>
        <w:rPr>
          <w:rFonts w:ascii="Aptos" w:hAnsi="Aptos"/>
          <w:b w:val="0"/>
          <w:color w:val="334155"/>
          <w:sz w:val="20"/>
        </w:rPr>
        <w:t>- Track status and stop contacting anyone who asks not to be contacted.</w:t>
      </w:r>
    </w:p>
    <w:p>
      <w:pPr>
        <w:pStyle w:val="Heading1"/>
      </w:pPr>
      <w:r>
        <w:rPr>
          <w:rFonts w:ascii="Aptos" w:hAnsi="Aptos"/>
          <w:b/>
          <w:color w:val="0B1F33"/>
          <w:sz w:val="32"/>
        </w:rPr>
        <w:t>Reply Handling Principles</w:t>
      </w:r>
    </w:p>
    <w:p>
      <w:r>
        <w:rPr>
          <w:rFonts w:ascii="Aptos" w:hAnsi="Aptos"/>
          <w:b w:val="0"/>
          <w:color w:val="334155"/>
          <w:sz w:val="20"/>
        </w:rPr>
        <w:t>[ ] Reply calmly and professionally within the same business day when possible.</w:t>
      </w:r>
    </w:p>
    <w:p>
      <w:r>
        <w:rPr>
          <w:rFonts w:ascii="Aptos" w:hAnsi="Aptos"/>
          <w:b w:val="0"/>
          <w:color w:val="334155"/>
          <w:sz w:val="20"/>
        </w:rPr>
        <w:t>[ ] Answer only what was asked and avoid overexplaining.</w:t>
      </w:r>
    </w:p>
    <w:p>
      <w:r>
        <w:rPr>
          <w:rFonts w:ascii="Aptos" w:hAnsi="Aptos"/>
          <w:b w:val="0"/>
          <w:color w:val="334155"/>
          <w:sz w:val="20"/>
        </w:rPr>
        <w:t>[ ] Ask one clear next question when information is missing.</w:t>
      </w:r>
    </w:p>
    <w:p>
      <w:r>
        <w:rPr>
          <w:rFonts w:ascii="Aptos" w:hAnsi="Aptos"/>
          <w:b w:val="0"/>
          <w:color w:val="334155"/>
          <w:sz w:val="20"/>
        </w:rPr>
        <w:t>[ ] Do not discuss PHI, patient-specific issues, or private clinic accounts by normal email.</w:t>
      </w:r>
    </w:p>
    <w:p>
      <w:r>
        <w:rPr>
          <w:rFonts w:ascii="Aptos" w:hAnsi="Aptos"/>
          <w:b w:val="0"/>
          <w:color w:val="334155"/>
          <w:sz w:val="20"/>
        </w:rPr>
        <w:t>[ ] Keep claims truthful, specific, and connected to one workflow.</w:t>
      </w:r>
    </w:p>
    <w:p/>
    <w:p>
      <w:pPr>
        <w:pStyle w:val="Heading1"/>
      </w:pPr>
      <w:r>
        <w:rPr>
          <w:rFonts w:ascii="Aptos" w:hAnsi="Aptos"/>
          <w:b/>
          <w:color w:val="0B1F33"/>
          <w:sz w:val="32"/>
        </w:rPr>
        <w:t>Interested Reply Template</w:t>
      </w:r>
    </w:p>
    <w:p>
      <w:r>
        <w:rPr>
          <w:rFonts w:ascii="Aptos" w:hAnsi="Aptos"/>
          <w:b w:val="0"/>
          <w:color w:val="334155"/>
          <w:sz w:val="20"/>
        </w:rPr>
        <w:t>Hi [NAME],</w:t>
      </w:r>
    </w:p>
    <w:p>
      <w:r>
        <w:rPr>
          <w:rFonts w:ascii="Aptos" w:hAnsi="Aptos"/>
          <w:b w:val="0"/>
          <w:color w:val="334155"/>
          <w:sz w:val="20"/>
        </w:rPr>
        <w:t>Thank you for replying. Based on your message, it sounds like [WORKFLOW / PAIN POINT] may be worth reviewing first. I can share a short overview or schedule a brief discovery call to understand the process before suggesting a pilot.</w:t>
      </w:r>
    </w:p>
    <w:p>
      <w:r>
        <w:rPr>
          <w:rFonts w:ascii="Aptos" w:hAnsi="Aptos"/>
          <w:b w:val="0"/>
          <w:color w:val="334155"/>
          <w:sz w:val="20"/>
        </w:rPr>
        <w:t>Would [OPTION 1] or [OPTION 2] work for a short call?</w:t>
      </w:r>
    </w:p>
    <w:p>
      <w:r>
        <w:rPr>
          <w:rFonts w:ascii="Aptos" w:hAnsi="Aptos"/>
          <w:b w:val="0"/>
          <w:color w:val="334155"/>
          <w:sz w:val="20"/>
        </w:rPr>
        <w:t>Thank you,</w:t>
        <w:br/>
        <w:t>[YOUR NAME]</w:t>
      </w:r>
    </w:p>
    <w:p/>
    <w:p>
      <w:pPr>
        <w:pStyle w:val="Heading1"/>
      </w:pPr>
      <w:r>
        <w:rPr>
          <w:rFonts w:ascii="Aptos" w:hAnsi="Aptos"/>
          <w:b/>
          <w:color w:val="0B1F33"/>
          <w:sz w:val="32"/>
        </w:rPr>
        <w:t>Rate or Scope Question Template</w:t>
      </w:r>
    </w:p>
    <w:p>
      <w:r>
        <w:rPr>
          <w:rFonts w:ascii="Aptos" w:hAnsi="Aptos"/>
          <w:b w:val="0"/>
          <w:color w:val="334155"/>
          <w:sz w:val="20"/>
        </w:rPr>
        <w:t>Hi [NAME],</w:t>
      </w:r>
    </w:p>
    <w:p>
      <w:r>
        <w:rPr>
          <w:rFonts w:ascii="Aptos" w:hAnsi="Aptos"/>
          <w:b w:val="0"/>
          <w:color w:val="334155"/>
          <w:sz w:val="20"/>
        </w:rPr>
        <w:t>Thank you for asking. I prefer to understand the workflow scope first so I do not underquote or overpromise. The main details I would need are [TASK TYPE], [VOLUME/RANGE], [TOOLS], [TURNAROUND], and [REPORTING EXPECTATIONS].</w:t>
      </w:r>
    </w:p>
    <w:p>
      <w:r>
        <w:rPr>
          <w:rFonts w:ascii="Aptos" w:hAnsi="Aptos"/>
          <w:b w:val="0"/>
          <w:color w:val="334155"/>
          <w:sz w:val="20"/>
        </w:rPr>
        <w:t>After that, I can suggest a clear pilot scope focused on one workflow.</w:t>
      </w:r>
    </w:p>
    <w:p>
      <w:r>
        <w:rPr>
          <w:rFonts w:ascii="Aptos" w:hAnsi="Aptos"/>
          <w:b w:val="0"/>
          <w:color w:val="334155"/>
          <w:sz w:val="20"/>
        </w:rPr>
        <w:t>Thank you,</w:t>
        <w:br/>
        <w:t>[YOUR NAME]</w:t>
      </w:r>
    </w:p>
    <w:p/>
    <w:p>
      <w:pPr>
        <w:pStyle w:val="Heading1"/>
      </w:pPr>
      <w:r>
        <w:rPr>
          <w:rFonts w:ascii="Aptos" w:hAnsi="Aptos"/>
          <w:b/>
          <w:color w:val="0B1F33"/>
          <w:sz w:val="32"/>
        </w:rPr>
        <w:t>Experience Question Template</w:t>
      </w:r>
    </w:p>
    <w:p>
      <w:r>
        <w:rPr>
          <w:rFonts w:ascii="Aptos" w:hAnsi="Aptos"/>
          <w:b w:val="0"/>
          <w:color w:val="334155"/>
          <w:sz w:val="20"/>
        </w:rPr>
        <w:t>Hi [NAME],</w:t>
      </w:r>
    </w:p>
    <w:p>
      <w:r>
        <w:rPr>
          <w:rFonts w:ascii="Aptos" w:hAnsi="Aptos"/>
          <w:b w:val="0"/>
          <w:color w:val="334155"/>
          <w:sz w:val="20"/>
        </w:rPr>
        <w:t>My truthful background is [TRUTHFUL BACKGROUND]. My strongest relevant areas are [SKILL 1], [SKILL 2], and [SKILL 3]. For anything outside my direct experience, I would follow your SOP, ask focused questions, document steps carefully, and avoid guessing.</w:t>
      </w:r>
    </w:p>
    <w:p>
      <w:r>
        <w:rPr>
          <w:rFonts w:ascii="Aptos" w:hAnsi="Aptos"/>
          <w:b w:val="0"/>
          <w:color w:val="334155"/>
          <w:sz w:val="20"/>
        </w:rPr>
        <w:t>I can also provide fictional workflow samples that show how I organize notes and trackers without using PHI.</w:t>
      </w:r>
    </w:p>
    <w:p>
      <w:r>
        <w:rPr>
          <w:rFonts w:ascii="Aptos" w:hAnsi="Aptos"/>
          <w:b w:val="0"/>
          <w:color w:val="334155"/>
          <w:sz w:val="20"/>
        </w:rPr>
        <w:t>Thank you,</w:t>
        <w:br/>
        <w:t>[YOUR NAME]</w:t>
      </w:r>
    </w:p>
    <w:p/>
    <w:p>
      <w:pPr>
        <w:pStyle w:val="Heading1"/>
      </w:pPr>
      <w:r>
        <w:rPr>
          <w:rFonts w:ascii="Aptos" w:hAnsi="Aptos"/>
          <w:b/>
          <w:color w:val="0B1F33"/>
          <w:sz w:val="32"/>
        </w:rPr>
        <w:t>Respectful Rejection Reply Template</w:t>
      </w:r>
    </w:p>
    <w:p>
      <w:r>
        <w:rPr>
          <w:rFonts w:ascii="Aptos" w:hAnsi="Aptos"/>
          <w:b w:val="0"/>
          <w:color w:val="334155"/>
          <w:sz w:val="20"/>
        </w:rPr>
        <w:t>Hi [NAME],</w:t>
      </w:r>
    </w:p>
    <w:p>
      <w:r>
        <w:rPr>
          <w:rFonts w:ascii="Aptos" w:hAnsi="Aptos"/>
          <w:b w:val="0"/>
          <w:color w:val="334155"/>
          <w:sz w:val="20"/>
        </w:rPr>
        <w:t>Thank you for letting me know. I appreciate your time and will not follow up further unless you ask me to. Wishing your team a smooth week.</w:t>
      </w:r>
    </w:p>
    <w:p>
      <w:r>
        <w:rPr>
          <w:rFonts w:ascii="Aptos" w:hAnsi="Aptos"/>
          <w:b w:val="0"/>
          <w:color w:val="334155"/>
          <w:sz w:val="20"/>
        </w:rPr>
        <w:t>Respectfully,</w:t>
        <w:br/>
        <w:t>[YOUR NAME]</w:t>
      </w:r>
    </w:p>
    <w:p/>
    <w:p>
      <w:pPr>
        <w:pStyle w:val="Heading1"/>
      </w:pPr>
      <w:r>
        <w:rPr>
          <w:rFonts w:ascii="Aptos" w:hAnsi="Aptos"/>
          <w:b/>
          <w:color w:val="0B1F33"/>
          <w:sz w:val="32"/>
        </w:rPr>
        <w:t>Common Beginner Mistakes</w:t>
      </w:r>
    </w:p>
    <w:p>
      <w:r>
        <w:rPr>
          <w:rFonts w:ascii="Aptos" w:hAnsi="Aptos"/>
          <w:b w:val="0"/>
          <w:color w:val="334155"/>
          <w:sz w:val="20"/>
        </w:rPr>
        <w:t>[ ] Sending the same message to every clinic without personalization.</w:t>
      </w:r>
    </w:p>
    <w:p>
      <w:r>
        <w:rPr>
          <w:rFonts w:ascii="Aptos" w:hAnsi="Aptos"/>
          <w:b w:val="0"/>
          <w:color w:val="334155"/>
          <w:sz w:val="20"/>
        </w:rPr>
        <w:t>[ ] Claiming broad expertise instead of one focused healthcare admin offer.</w:t>
      </w:r>
    </w:p>
    <w:p>
      <w:r>
        <w:rPr>
          <w:rFonts w:ascii="Aptos" w:hAnsi="Aptos"/>
          <w:b w:val="0"/>
          <w:color w:val="334155"/>
          <w:sz w:val="20"/>
        </w:rPr>
        <w:t>[ ] Using real patient, payer, clinic, account, or login information in practice.</w:t>
      </w:r>
    </w:p>
    <w:p>
      <w:r>
        <w:rPr>
          <w:rFonts w:ascii="Aptos" w:hAnsi="Aptos"/>
          <w:b w:val="0"/>
          <w:color w:val="334155"/>
          <w:sz w:val="20"/>
        </w:rPr>
        <w:t>[ ] Pressuring a clinic after they do not reply or ask not to be contacted.</w:t>
      </w:r>
    </w:p>
    <w:p>
      <w:r>
        <w:rPr>
          <w:rFonts w:ascii="Aptos" w:hAnsi="Aptos"/>
          <w:b w:val="0"/>
          <w:color w:val="334155"/>
          <w:sz w:val="20"/>
        </w:rPr>
        <w:t>[ ] Discussing pricing, scope, or access before understanding the workflow need.</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Safe Practice Reminder</w:t>
            </w:r>
          </w:p>
        </w:tc>
      </w:tr>
      <w:tr>
        <w:tc>
          <w:tcPr>
            <w:tcW w:type="dxa" w:w="10512"/>
            <w:shd w:fill="DDF7EF"/>
          </w:tcPr>
          <w:p>
            <w:r>
              <w:rPr>
                <w:rFonts w:ascii="Aptos" w:hAnsi="Aptos"/>
                <w:b w:val="0"/>
                <w:color w:val="0B1F33"/>
                <w:sz w:val="18"/>
              </w:rPr>
              <w:t>Practice with fictional clinic names, example.com email addresses, and public business information only. Keep outreach respectful, low-volume, and truthful.</w:t>
            </w:r>
          </w:p>
        </w:tc>
      </w:tr>
    </w:tbl>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No-PHI Practice Reminder</w:t>
            </w:r>
          </w:p>
        </w:tc>
      </w:tr>
      <w:tr>
        <w:tc>
          <w:tcPr>
            <w:tcW w:type="dxa" w:w="10512"/>
            <w:shd w:fill="DDF7EF"/>
          </w:tcPr>
          <w:p>
            <w:r>
              <w:rPr>
                <w:rFonts w:ascii="Aptos" w:hAnsi="Aptos"/>
                <w:b w:val="0"/>
                <w:color w:val="0B1F33"/>
                <w:sz w:val="18"/>
              </w:rP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p>
      <w:pPr>
        <w:pStyle w:val="Heading1"/>
      </w:pPr>
      <w:r>
        <w:rPr>
          <w:rFonts w:ascii="Aptos" w:hAnsi="Aptos"/>
          <w:b/>
          <w:color w:val="0B1F33"/>
          <w:sz w:val="32"/>
        </w:rPr>
        <w:t>Educational Use Only</w:t>
      </w:r>
    </w:p>
    <w:p>
      <w:r>
        <w:rPr>
          <w:rFonts w:ascii="Aptos" w:hAnsi="Aptos"/>
          <w:b w:val="0"/>
          <w:color w:val="334155"/>
          <w:sz w:val="20"/>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1"/>
      </w:pPr>
      <w:r>
        <w:rPr>
          <w:rFonts w:ascii="Aptos" w:hAnsi="Aptos"/>
          <w:b/>
          <w:color w:val="0B1F33"/>
          <w:sz w:val="32"/>
        </w:rPr>
        <w:t>Source/review note</w:t>
      </w:r>
    </w:p>
    <w:p>
      <w:r>
        <w:rPr>
          <w:rFonts w:ascii="Aptos" w:hAnsi="Aptos"/>
          <w:b w:val="0"/>
          <w:color w:val="334155"/>
          <w:sz w:val="20"/>
        </w:rPr>
        <w:t>This resource is for educational and business-planning use only. It does not guarantee employment, client acquisition, income, or contract approval. Keep all claims truthful and verify privacy, business, email, and client-contract requirements before use.</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Recommended Next Step</w:t>
            </w:r>
          </w:p>
        </w:tc>
      </w:tr>
      <w:tr>
        <w:tc>
          <w:tcPr>
            <w:tcW w:type="dxa" w:w="10512"/>
            <w:shd w:fill="DDF7EF"/>
          </w:tcPr>
          <w:p>
            <w:r>
              <w:rPr>
                <w:rFonts w:ascii="Aptos" w:hAnsi="Aptos"/>
                <w:b w:val="0"/>
                <w:color w:val="0B1F33"/>
                <w:sz w:val="18"/>
              </w:rPr>
              <w:t>After replying, prepare the Discovery Call Script if the clinic shows interest in a call or pilot.</w:t>
            </w:r>
          </w:p>
        </w:tc>
      </w:tr>
    </w:tbl>
    <w:p/>
    <w:sectPr w:rsidR="00FC693F" w:rsidRPr="0006063C" w:rsidSect="00034616">
      <w:headerReference w:type="default" r:id="rId9"/>
      <w:footerReference w:type="default" r:id="rId10"/>
      <w:pgSz w:w="12240" w:h="15840"/>
      <w:pgMar w:top="792" w:right="864" w:bottom="79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ptos" w:hAnsi="Aptos"/>
        <w:b w:val="0"/>
        <w:color w:val="334155"/>
        <w:sz w:val="14"/>
      </w:rPr>
      <w:t>RisenFynix | MVA Simplified - Healthcare VA Learning Hub | 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rFonts w:ascii="Aptos" w:hAnsi="Aptos"/>
        <w:b w:val="0"/>
        <w:color w:val="0B1F3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Reply Template</dc:title>
  <dc:subject>RisenFynix / MVA Simplified downloadable resource</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