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Aptos" w:hAnsi="Aptos"/>
          <w:b w:val="0"/>
          <w:color w:val="334155"/>
          <w:sz w:val="20"/>
        </w:rPr>
        <w:t>RisenFynix / MVA Simplified</w:t>
      </w:r>
    </w:p>
    <w:p>
      <w:pPr>
        <w:pStyle w:val="Heading2"/>
      </w:pPr>
      <w:r>
        <w:rPr>
          <w:rFonts w:ascii="Aptos" w:hAnsi="Aptos"/>
          <w:b/>
          <w:color w:val="0F766E"/>
          <w:sz w:val="26"/>
        </w:rPr>
        <w:t>Healthcare VA Learning Hub</w:t>
      </w:r>
    </w:p>
    <w:p>
      <w:pPr>
        <w:pStyle w:val="Heading1"/>
      </w:pPr>
      <w:r>
        <w:rPr>
          <w:rFonts w:ascii="Aptos" w:hAnsi="Aptos"/>
          <w:b/>
          <w:color w:val="0B1F33"/>
          <w:sz w:val="32"/>
        </w:rPr>
        <w:t>Warm Email Outreach Template</w:t>
      </w:r>
    </w:p>
    <w:tbl>
      <w:tblPr>
        <w:tblStyle w:val="TableGrid"/>
        <w:tblW w:type="auto" w:w="0"/>
        <w:jc w:val="left"/>
        <w:tblLook w:firstColumn="1" w:firstRow="1" w:lastColumn="0" w:lastRow="0" w:noHBand="0" w:noVBand="1" w:val="04A0"/>
      </w:tblPr>
      <w:tblGrid>
        <w:gridCol w:w="5256"/>
        <w:gridCol w:w="5256"/>
      </w:tblGrid>
      <w:tr>
        <w:tc>
          <w:tcPr>
            <w:tcW w:type="dxa" w:w="5256"/>
            <w:vAlign w:val="top"/>
            <w:shd w:fill="0B1F33"/>
          </w:tcPr>
          <w:p>
            <w:r/>
            <w:r>
              <w:rPr>
                <w:rFonts w:ascii="Aptos" w:hAnsi="Aptos"/>
                <w:b/>
                <w:color w:val="FFFFFF"/>
                <w:sz w:val="17"/>
              </w:rPr>
              <w:t>Field</w:t>
            </w:r>
          </w:p>
        </w:tc>
        <w:tc>
          <w:tcPr>
            <w:tcW w:type="dxa" w:w="5256"/>
            <w:vAlign w:val="top"/>
            <w:shd w:fill="0B1F33"/>
          </w:tcPr>
          <w:p>
            <w:r/>
            <w:r>
              <w:rPr>
                <w:rFonts w:ascii="Aptos" w:hAnsi="Aptos"/>
                <w:b/>
                <w:color w:val="FFFFFF"/>
                <w:sz w:val="17"/>
              </w:rPr>
              <w:t>Details</w:t>
            </w:r>
          </w:p>
        </w:tc>
      </w:tr>
      <w:tr>
        <w:tc>
          <w:tcPr>
            <w:tcW w:type="dxa" w:w="5256"/>
            <w:vAlign w:val="top"/>
          </w:tcPr>
          <w:p>
            <w:r/>
            <w:r>
              <w:rPr>
                <w:rFonts w:ascii="Aptos" w:hAnsi="Aptos"/>
                <w:b/>
                <w:color w:val="334155"/>
                <w:sz w:val="17"/>
              </w:rPr>
              <w:t>Resource Type</w:t>
            </w:r>
          </w:p>
        </w:tc>
        <w:tc>
          <w:tcPr>
            <w:tcW w:type="dxa" w:w="5256"/>
            <w:vAlign w:val="top"/>
          </w:tcPr>
          <w:p>
            <w:r/>
            <w:r>
              <w:rPr>
                <w:rFonts w:ascii="Aptos" w:hAnsi="Aptos"/>
                <w:b w:val="0"/>
                <w:color w:val="334155"/>
                <w:sz w:val="17"/>
              </w:rPr>
              <w:t>Template</w:t>
            </w:r>
          </w:p>
        </w:tc>
      </w:tr>
      <w:tr>
        <w:tc>
          <w:tcPr>
            <w:tcW w:type="dxa" w:w="5256"/>
            <w:vAlign w:val="top"/>
          </w:tcPr>
          <w:p>
            <w:r/>
            <w:r>
              <w:rPr>
                <w:rFonts w:ascii="Aptos" w:hAnsi="Aptos"/>
                <w:b/>
                <w:color w:val="334155"/>
                <w:sz w:val="17"/>
              </w:rPr>
              <w:t>Who it is for</w:t>
            </w:r>
          </w:p>
        </w:tc>
        <w:tc>
          <w:tcPr>
            <w:tcW w:type="dxa" w:w="5256"/>
            <w:vAlign w:val="top"/>
          </w:tcPr>
          <w:p>
            <w:r/>
            <w:r>
              <w:rPr>
                <w:rFonts w:ascii="Aptos" w:hAnsi="Aptos"/>
                <w:b w:val="0"/>
                <w:color w:val="334155"/>
                <w:sz w:val="17"/>
              </w:rPr>
              <w:t>Aspiring Medical VAs, Medical Billers, AR follow-up specialists, and healthcare admin learners preparing respectful direct-client outreach.</w:t>
            </w:r>
          </w:p>
        </w:tc>
      </w:tr>
      <w:tr>
        <w:tc>
          <w:tcPr>
            <w:tcW w:type="dxa" w:w="5256"/>
            <w:vAlign w:val="top"/>
          </w:tcPr>
          <w:p>
            <w:r/>
            <w:r>
              <w:rPr>
                <w:rFonts w:ascii="Aptos" w:hAnsi="Aptos"/>
                <w:b/>
                <w:color w:val="334155"/>
                <w:sz w:val="17"/>
              </w:rPr>
              <w:t>When to use it</w:t>
            </w:r>
          </w:p>
        </w:tc>
        <w:tc>
          <w:tcPr>
            <w:tcW w:type="dxa" w:w="5256"/>
            <w:vAlign w:val="top"/>
          </w:tcPr>
          <w:p>
            <w:r/>
            <w:r>
              <w:rPr>
                <w:rFonts w:ascii="Aptos" w:hAnsi="Aptos"/>
                <w:b w:val="0"/>
                <w:color w:val="334155"/>
                <w:sz w:val="17"/>
              </w:rPr>
              <w:t>Use before sending the first respectful clinic outreach email.</w:t>
            </w:r>
          </w:p>
        </w:tc>
      </w:tr>
      <w:tr>
        <w:tc>
          <w:tcPr>
            <w:tcW w:type="dxa" w:w="5256"/>
            <w:vAlign w:val="top"/>
          </w:tcPr>
          <w:p>
            <w:r/>
            <w:r>
              <w:rPr>
                <w:rFonts w:ascii="Aptos" w:hAnsi="Aptos"/>
                <w:b/>
                <w:color w:val="334155"/>
                <w:sz w:val="17"/>
              </w:rPr>
              <w:t>Last reviewed</w:t>
            </w:r>
          </w:p>
        </w:tc>
        <w:tc>
          <w:tcPr>
            <w:tcW w:type="dxa" w:w="5256"/>
            <w:vAlign w:val="top"/>
          </w:tcPr>
          <w:p>
            <w:r/>
            <w:r>
              <w:rPr>
                <w:rFonts w:ascii="Aptos" w:hAnsi="Aptos"/>
                <w:b w:val="0"/>
                <w:color w:val="334155"/>
                <w:sz w:val="17"/>
              </w:rPr>
              <w:t>July 2026</w:t>
            </w:r>
          </w:p>
        </w:tc>
      </w:tr>
    </w:tbl>
    <w:p/>
    <w:p>
      <w:pPr>
        <w:pStyle w:val="Heading1"/>
      </w:pPr>
      <w:r>
        <w:rPr>
          <w:rFonts w:ascii="Aptos" w:hAnsi="Aptos"/>
          <w:b/>
          <w:color w:val="0B1F33"/>
          <w:sz w:val="32"/>
        </w:rPr>
        <w:t>Purpose</w:t>
      </w:r>
    </w:p>
    <w:p>
      <w:r>
        <w:rPr>
          <w:rFonts w:ascii="Aptos" w:hAnsi="Aptos"/>
          <w:b w:val="0"/>
          <w:color w:val="334155"/>
          <w:sz w:val="20"/>
        </w:rPr>
        <w:t>Create a concise, personalized first message for public business contacts without aggressive selling or PHI.</w:t>
      </w:r>
    </w:p>
    <w:p>
      <w:pPr>
        <w:pStyle w:val="Heading1"/>
      </w:pPr>
      <w:r>
        <w:rPr>
          <w:rFonts w:ascii="Aptos" w:hAnsi="Aptos"/>
          <w:b/>
          <w:color w:val="0B1F33"/>
          <w:sz w:val="32"/>
        </w:rPr>
        <w:t>How to use this resource</w:t>
      </w:r>
    </w:p>
    <w:p>
      <w:r>
        <w:rPr>
          <w:rFonts w:ascii="Aptos" w:hAnsi="Aptos"/>
          <w:b w:val="0"/>
          <w:color w:val="334155"/>
          <w:sz w:val="20"/>
        </w:rPr>
        <w:t>- Read the funnel first: Niche -&gt; Location -&gt; Lead List -&gt; Warm Email -&gt; Follow-Up -&gt; Discovery Call -&gt; Pilot.</w:t>
      </w:r>
    </w:p>
    <w:p>
      <w:r>
        <w:rPr>
          <w:rFonts w:ascii="Aptos" w:hAnsi="Aptos"/>
          <w:b w:val="0"/>
          <w:color w:val="334155"/>
          <w:sz w:val="20"/>
        </w:rPr>
        <w:t>- Replace bracketed fields with truthful, specific details.</w:t>
      </w:r>
    </w:p>
    <w:p>
      <w:r>
        <w:rPr>
          <w:rFonts w:ascii="Aptos" w:hAnsi="Aptos"/>
          <w:b w:val="0"/>
          <w:color w:val="334155"/>
          <w:sz w:val="20"/>
        </w:rPr>
        <w:t>- Use only public business information. Do not scrape private data or collect patient details.</w:t>
      </w:r>
    </w:p>
    <w:p>
      <w:r>
        <w:rPr>
          <w:rFonts w:ascii="Aptos" w:hAnsi="Aptos"/>
          <w:b w:val="0"/>
          <w:color w:val="334155"/>
          <w:sz w:val="20"/>
        </w:rPr>
        <w:t>- Keep outreach respectful, low-volume, and easy to decline.</w:t>
      </w:r>
    </w:p>
    <w:p>
      <w:r>
        <w:rPr>
          <w:rFonts w:ascii="Aptos" w:hAnsi="Aptos"/>
          <w:b w:val="0"/>
          <w:color w:val="334155"/>
          <w:sz w:val="20"/>
        </w:rPr>
        <w:t>- Track status and stop contacting anyone who asks not to be contacted.</w:t>
      </w:r>
    </w:p>
    <w:p>
      <w:pPr>
        <w:pStyle w:val="Heading1"/>
      </w:pPr>
      <w:r>
        <w:rPr>
          <w:rFonts w:ascii="Aptos" w:hAnsi="Aptos"/>
          <w:b/>
          <w:color w:val="0B1F33"/>
          <w:sz w:val="32"/>
        </w:rPr>
        <w:t>Direct Client Funnel Context</w:t>
      </w:r>
    </w:p>
    <w:tbl>
      <w:tblPr>
        <w:tblStyle w:val="TableGrid"/>
        <w:tblW w:type="auto" w:w="0"/>
        <w:jc w:val="left"/>
        <w:tblLook w:firstColumn="1" w:firstRow="1" w:lastColumn="0" w:lastRow="0" w:noHBand="0" w:noVBand="1" w:val="04A0"/>
      </w:tblPr>
      <w:tblGrid>
        <w:gridCol w:w="3504"/>
        <w:gridCol w:w="3504"/>
        <w:gridCol w:w="3504"/>
      </w:tblGrid>
      <w:tr>
        <w:tc>
          <w:tcPr>
            <w:tcW w:type="dxa" w:w="3504"/>
            <w:vAlign w:val="top"/>
            <w:shd w:fill="0B1F33"/>
          </w:tcPr>
          <w:p>
            <w:r/>
            <w:r>
              <w:rPr>
                <w:rFonts w:ascii="Aptos" w:hAnsi="Aptos"/>
                <w:b/>
                <w:color w:val="FFFFFF"/>
                <w:sz w:val="17"/>
              </w:rPr>
              <w:t>Step</w:t>
            </w:r>
          </w:p>
        </w:tc>
        <w:tc>
          <w:tcPr>
            <w:tcW w:type="dxa" w:w="3504"/>
            <w:vAlign w:val="top"/>
            <w:shd w:fill="0B1F33"/>
          </w:tcPr>
          <w:p>
            <w:r/>
            <w:r>
              <w:rPr>
                <w:rFonts w:ascii="Aptos" w:hAnsi="Aptos"/>
                <w:b/>
                <w:color w:val="FFFFFF"/>
                <w:sz w:val="17"/>
              </w:rPr>
              <w:t>Action</w:t>
            </w:r>
          </w:p>
        </w:tc>
        <w:tc>
          <w:tcPr>
            <w:tcW w:type="dxa" w:w="3504"/>
            <w:vAlign w:val="top"/>
            <w:shd w:fill="0B1F33"/>
          </w:tcPr>
          <w:p>
            <w:r/>
            <w:r>
              <w:rPr>
                <w:rFonts w:ascii="Aptos" w:hAnsi="Aptos"/>
                <w:b/>
                <w:color w:val="FFFFFF"/>
                <w:sz w:val="17"/>
              </w:rPr>
              <w:t>Output</w:t>
            </w:r>
          </w:p>
        </w:tc>
      </w:tr>
      <w:tr>
        <w:tc>
          <w:tcPr>
            <w:tcW w:type="dxa" w:w="3504"/>
            <w:vAlign w:val="top"/>
          </w:tcPr>
          <w:p>
            <w:r/>
            <w:r>
              <w:rPr>
                <w:rFonts w:ascii="Aptos" w:hAnsi="Aptos"/>
                <w:b/>
                <w:color w:val="334155"/>
                <w:sz w:val="17"/>
              </w:rPr>
              <w:t>1. Niche</w:t>
            </w:r>
          </w:p>
        </w:tc>
        <w:tc>
          <w:tcPr>
            <w:tcW w:type="dxa" w:w="3504"/>
            <w:vAlign w:val="top"/>
          </w:tcPr>
          <w:p>
            <w:r/>
            <w:r>
              <w:rPr>
                <w:rFonts w:ascii="Aptos" w:hAnsi="Aptos"/>
                <w:b w:val="0"/>
                <w:color w:val="334155"/>
                <w:sz w:val="17"/>
              </w:rPr>
              <w:t>Choose one clinic type or service area</w:t>
            </w:r>
          </w:p>
        </w:tc>
        <w:tc>
          <w:tcPr>
            <w:tcW w:type="dxa" w:w="3504"/>
            <w:vAlign w:val="top"/>
          </w:tcPr>
          <w:p>
            <w:r/>
            <w:r>
              <w:rPr>
                <w:rFonts w:ascii="Aptos" w:hAnsi="Aptos"/>
                <w:b w:val="0"/>
                <w:color w:val="334155"/>
                <w:sz w:val="17"/>
              </w:rPr>
              <w:t>Example: pediatrics, behavioral health, home health, infusion, outpatient clinics</w:t>
            </w:r>
          </w:p>
        </w:tc>
      </w:tr>
      <w:tr>
        <w:tc>
          <w:tcPr>
            <w:tcW w:type="dxa" w:w="3504"/>
            <w:vAlign w:val="top"/>
          </w:tcPr>
          <w:p>
            <w:r/>
            <w:r>
              <w:rPr>
                <w:rFonts w:ascii="Aptos" w:hAnsi="Aptos"/>
                <w:b/>
                <w:color w:val="334155"/>
                <w:sz w:val="17"/>
              </w:rPr>
              <w:t>2. Location</w:t>
            </w:r>
          </w:p>
        </w:tc>
        <w:tc>
          <w:tcPr>
            <w:tcW w:type="dxa" w:w="3504"/>
            <w:vAlign w:val="top"/>
          </w:tcPr>
          <w:p>
            <w:r/>
            <w:r>
              <w:rPr>
                <w:rFonts w:ascii="Aptos" w:hAnsi="Aptos"/>
                <w:b w:val="0"/>
                <w:color w:val="334155"/>
                <w:sz w:val="17"/>
              </w:rPr>
              <w:t>Choose 2-3 states or 3-5 cities</w:t>
            </w:r>
          </w:p>
        </w:tc>
        <w:tc>
          <w:tcPr>
            <w:tcW w:type="dxa" w:w="3504"/>
            <w:vAlign w:val="top"/>
          </w:tcPr>
          <w:p>
            <w:r/>
            <w:r>
              <w:rPr>
                <w:rFonts w:ascii="Aptos" w:hAnsi="Aptos"/>
                <w:b w:val="0"/>
                <w:color w:val="334155"/>
                <w:sz w:val="17"/>
              </w:rPr>
              <w:t>Focused research list</w:t>
            </w:r>
          </w:p>
        </w:tc>
      </w:tr>
      <w:tr>
        <w:tc>
          <w:tcPr>
            <w:tcW w:type="dxa" w:w="3504"/>
            <w:vAlign w:val="top"/>
          </w:tcPr>
          <w:p>
            <w:r/>
            <w:r>
              <w:rPr>
                <w:rFonts w:ascii="Aptos" w:hAnsi="Aptos"/>
                <w:b/>
                <w:color w:val="334155"/>
                <w:sz w:val="17"/>
              </w:rPr>
              <w:t>3. Lead List</w:t>
            </w:r>
          </w:p>
        </w:tc>
        <w:tc>
          <w:tcPr>
            <w:tcW w:type="dxa" w:w="3504"/>
            <w:vAlign w:val="top"/>
          </w:tcPr>
          <w:p>
            <w:r/>
            <w:r>
              <w:rPr>
                <w:rFonts w:ascii="Aptos" w:hAnsi="Aptos"/>
                <w:b w:val="0"/>
                <w:color w:val="334155"/>
                <w:sz w:val="17"/>
              </w:rPr>
              <w:t>Add only qualified public business leads</w:t>
            </w:r>
          </w:p>
        </w:tc>
        <w:tc>
          <w:tcPr>
            <w:tcW w:type="dxa" w:w="3504"/>
            <w:vAlign w:val="top"/>
          </w:tcPr>
          <w:p>
            <w:r/>
            <w:r>
              <w:rPr>
                <w:rFonts w:ascii="Aptos" w:hAnsi="Aptos"/>
                <w:b w:val="0"/>
                <w:color w:val="334155"/>
                <w:sz w:val="17"/>
              </w:rPr>
              <w:t>Clinic name, website, contact route, score, notes</w:t>
            </w:r>
          </w:p>
        </w:tc>
      </w:tr>
      <w:tr>
        <w:tc>
          <w:tcPr>
            <w:tcW w:type="dxa" w:w="3504"/>
            <w:vAlign w:val="top"/>
          </w:tcPr>
          <w:p>
            <w:r/>
            <w:r>
              <w:rPr>
                <w:rFonts w:ascii="Aptos" w:hAnsi="Aptos"/>
                <w:b/>
                <w:color w:val="334155"/>
                <w:sz w:val="17"/>
              </w:rPr>
              <w:t>4. Warm Email</w:t>
            </w:r>
          </w:p>
        </w:tc>
        <w:tc>
          <w:tcPr>
            <w:tcW w:type="dxa" w:w="3504"/>
            <w:vAlign w:val="top"/>
          </w:tcPr>
          <w:p>
            <w:r/>
            <w:r>
              <w:rPr>
                <w:rFonts w:ascii="Aptos" w:hAnsi="Aptos"/>
                <w:b w:val="0"/>
                <w:color w:val="334155"/>
                <w:sz w:val="17"/>
              </w:rPr>
              <w:t>Send a short personalized message</w:t>
            </w:r>
          </w:p>
        </w:tc>
        <w:tc>
          <w:tcPr>
            <w:tcW w:type="dxa" w:w="3504"/>
            <w:vAlign w:val="top"/>
          </w:tcPr>
          <w:p>
            <w:r/>
            <w:r>
              <w:rPr>
                <w:rFonts w:ascii="Aptos" w:hAnsi="Aptos"/>
                <w:b w:val="0"/>
                <w:color w:val="334155"/>
                <w:sz w:val="17"/>
              </w:rPr>
              <w:t>A respectful introduction</w:t>
            </w:r>
          </w:p>
        </w:tc>
      </w:tr>
      <w:tr>
        <w:tc>
          <w:tcPr>
            <w:tcW w:type="dxa" w:w="3504"/>
            <w:vAlign w:val="top"/>
          </w:tcPr>
          <w:p>
            <w:r/>
            <w:r>
              <w:rPr>
                <w:rFonts w:ascii="Aptos" w:hAnsi="Aptos"/>
                <w:b/>
                <w:color w:val="334155"/>
                <w:sz w:val="17"/>
              </w:rPr>
              <w:t>5. Follow-Up</w:t>
            </w:r>
          </w:p>
        </w:tc>
        <w:tc>
          <w:tcPr>
            <w:tcW w:type="dxa" w:w="3504"/>
            <w:vAlign w:val="top"/>
          </w:tcPr>
          <w:p>
            <w:r/>
            <w:r>
              <w:rPr>
                <w:rFonts w:ascii="Aptos" w:hAnsi="Aptos"/>
                <w:b w:val="0"/>
                <w:color w:val="334155"/>
                <w:sz w:val="17"/>
              </w:rPr>
              <w:t>Send polite touches only when appropriate</w:t>
            </w:r>
          </w:p>
        </w:tc>
        <w:tc>
          <w:tcPr>
            <w:tcW w:type="dxa" w:w="3504"/>
            <w:vAlign w:val="top"/>
          </w:tcPr>
          <w:p>
            <w:r/>
            <w:r>
              <w:rPr>
                <w:rFonts w:ascii="Aptos" w:hAnsi="Aptos"/>
                <w:b w:val="0"/>
                <w:color w:val="334155"/>
                <w:sz w:val="17"/>
              </w:rPr>
              <w:t>Low-pressure reminder</w:t>
            </w:r>
          </w:p>
        </w:tc>
      </w:tr>
      <w:tr>
        <w:tc>
          <w:tcPr>
            <w:tcW w:type="dxa" w:w="3504"/>
            <w:vAlign w:val="top"/>
          </w:tcPr>
          <w:p>
            <w:r/>
            <w:r>
              <w:rPr>
                <w:rFonts w:ascii="Aptos" w:hAnsi="Aptos"/>
                <w:b/>
                <w:color w:val="334155"/>
                <w:sz w:val="17"/>
              </w:rPr>
              <w:t>6. Discovery Call</w:t>
            </w:r>
          </w:p>
        </w:tc>
        <w:tc>
          <w:tcPr>
            <w:tcW w:type="dxa" w:w="3504"/>
            <w:vAlign w:val="top"/>
          </w:tcPr>
          <w:p>
            <w:r/>
            <w:r>
              <w:rPr>
                <w:rFonts w:ascii="Aptos" w:hAnsi="Aptos"/>
                <w:b w:val="0"/>
                <w:color w:val="334155"/>
                <w:sz w:val="17"/>
              </w:rPr>
              <w:t>Diagnose workflow need before pitching</w:t>
            </w:r>
          </w:p>
        </w:tc>
        <w:tc>
          <w:tcPr>
            <w:tcW w:type="dxa" w:w="3504"/>
            <w:vAlign w:val="top"/>
          </w:tcPr>
          <w:p>
            <w:r/>
            <w:r>
              <w:rPr>
                <w:rFonts w:ascii="Aptos" w:hAnsi="Aptos"/>
                <w:b w:val="0"/>
                <w:color w:val="334155"/>
                <w:sz w:val="17"/>
              </w:rPr>
              <w:t>Potential pilot scope</w:t>
            </w:r>
          </w:p>
        </w:tc>
      </w:tr>
      <w:tr>
        <w:tc>
          <w:tcPr>
            <w:tcW w:type="dxa" w:w="3504"/>
            <w:vAlign w:val="top"/>
          </w:tcPr>
          <w:p>
            <w:r/>
            <w:r>
              <w:rPr>
                <w:rFonts w:ascii="Aptos" w:hAnsi="Aptos"/>
                <w:b/>
                <w:color w:val="334155"/>
                <w:sz w:val="17"/>
              </w:rPr>
              <w:t>7. Pilot</w:t>
            </w:r>
          </w:p>
        </w:tc>
        <w:tc>
          <w:tcPr>
            <w:tcW w:type="dxa" w:w="3504"/>
            <w:vAlign w:val="top"/>
          </w:tcPr>
          <w:p>
            <w:r/>
            <w:r>
              <w:rPr>
                <w:rFonts w:ascii="Aptos" w:hAnsi="Aptos"/>
                <w:b w:val="0"/>
                <w:color w:val="334155"/>
                <w:sz w:val="17"/>
              </w:rPr>
              <w:t>Start with one small workflow</w:t>
            </w:r>
          </w:p>
        </w:tc>
        <w:tc>
          <w:tcPr>
            <w:tcW w:type="dxa" w:w="3504"/>
            <w:vAlign w:val="top"/>
          </w:tcPr>
          <w:p>
            <w:r/>
            <w:r>
              <w:rPr>
                <w:rFonts w:ascii="Aptos" w:hAnsi="Aptos"/>
                <w:b w:val="0"/>
                <w:color w:val="334155"/>
                <w:sz w:val="17"/>
              </w:rPr>
              <w:t>Low-risk test project</w:t>
            </w:r>
          </w:p>
        </w:tc>
      </w:tr>
    </w:tbl>
    <w:p/>
    <w:p/>
    <w:p>
      <w:pPr>
        <w:pStyle w:val="Heading1"/>
      </w:pPr>
      <w:r>
        <w:rPr>
          <w:rFonts w:ascii="Aptos" w:hAnsi="Aptos"/>
          <w:b/>
          <w:color w:val="0B1F33"/>
          <w:sz w:val="32"/>
        </w:rPr>
        <w:t>Warm Email Formula</w:t>
      </w:r>
    </w:p>
    <w:p>
      <w:r>
        <w:rPr>
          <w:rFonts w:ascii="Aptos" w:hAnsi="Aptos"/>
          <w:b w:val="0"/>
          <w:color w:val="334155"/>
          <w:sz w:val="20"/>
        </w:rPr>
        <w:t>[ ] Subject line is short, accurate, and not misleading.</w:t>
      </w:r>
    </w:p>
    <w:p>
      <w:r>
        <w:rPr>
          <w:rFonts w:ascii="Aptos" w:hAnsi="Aptos"/>
          <w:b w:val="0"/>
          <w:color w:val="334155"/>
          <w:sz w:val="20"/>
        </w:rPr>
        <w:t>[ ] First line includes a real public detail from the clinic website or profile.</w:t>
      </w:r>
    </w:p>
    <w:p>
      <w:r>
        <w:rPr>
          <w:rFonts w:ascii="Aptos" w:hAnsi="Aptos"/>
          <w:b w:val="0"/>
          <w:color w:val="334155"/>
          <w:sz w:val="20"/>
        </w:rPr>
        <w:t>[ ] Credibility line states only truthful healthcare admin or RCM background.</w:t>
      </w:r>
    </w:p>
    <w:p>
      <w:r>
        <w:rPr>
          <w:rFonts w:ascii="Aptos" w:hAnsi="Aptos"/>
          <w:b w:val="0"/>
          <w:color w:val="334155"/>
          <w:sz w:val="20"/>
        </w:rPr>
        <w:t>[ ] Problem line connects to one workflow: AR follow-up, eligibility, authorization tracking, denial support, or documentation.</w:t>
      </w:r>
    </w:p>
    <w:p>
      <w:r>
        <w:rPr>
          <w:rFonts w:ascii="Aptos" w:hAnsi="Aptos"/>
          <w:b w:val="0"/>
          <w:color w:val="334155"/>
          <w:sz w:val="20"/>
        </w:rPr>
        <w:t>[ ] Soft CTA asks if they want a short overview; it does not pressure for a call.</w:t>
      </w:r>
    </w:p>
    <w:p>
      <w:r>
        <w:rPr>
          <w:rFonts w:ascii="Aptos" w:hAnsi="Aptos"/>
          <w:b w:val="0"/>
          <w:color w:val="334155"/>
          <w:sz w:val="20"/>
        </w:rPr>
        <w:t>[ ] Close includes name, role, email, and optional portfolio link.</w:t>
      </w:r>
    </w:p>
    <w:p/>
    <w:p>
      <w:pPr>
        <w:pStyle w:val="Heading1"/>
      </w:pPr>
      <w:r>
        <w:rPr>
          <w:rFonts w:ascii="Aptos" w:hAnsi="Aptos"/>
          <w:b/>
          <w:color w:val="0B1F33"/>
          <w:sz w:val="32"/>
        </w:rPr>
        <w:t>Editable Warm Email Template</w:t>
      </w:r>
    </w:p>
    <w:p>
      <w:r>
        <w:rPr>
          <w:rFonts w:ascii="Aptos" w:hAnsi="Aptos"/>
          <w:b w:val="0"/>
          <w:color w:val="334155"/>
          <w:sz w:val="20"/>
        </w:rPr>
        <w:t>Subject: Quick question about [SPECIFIC WORKFLOW] support</w:t>
      </w:r>
    </w:p>
    <w:p>
      <w:r>
        <w:rPr>
          <w:rFonts w:ascii="Aptos" w:hAnsi="Aptos"/>
          <w:b w:val="0"/>
          <w:color w:val="334155"/>
          <w:sz w:val="20"/>
        </w:rPr>
        <w:t>Hi [CONTACT NAME / OFFICE TEAM],</w:t>
      </w:r>
    </w:p>
    <w:p>
      <w:r>
        <w:rPr>
          <w:rFonts w:ascii="Aptos" w:hAnsi="Aptos"/>
          <w:b w:val="0"/>
          <w:color w:val="334155"/>
          <w:sz w:val="20"/>
        </w:rPr>
        <w:t>I saw that [CLINIC NAME] provides [SERVICE / SPECIALTY] in [CITY/STATE]. I support U.S. healthcare admin/RCM workflows, especially [TRUTHFUL WORKFLOW 1], [TRUTHFUL WORKFLOW 2], and [DOCUMENTATION / TRACKING SKILL].</w:t>
      </w:r>
    </w:p>
    <w:p>
      <w:r>
        <w:rPr>
          <w:rFonts w:ascii="Aptos" w:hAnsi="Aptos"/>
          <w:b w:val="0"/>
          <w:color w:val="334155"/>
          <w:sz w:val="20"/>
        </w:rPr>
        <w:t>If your team ever needs part-time remote support with [ONE CLEAR WORKFLOW], would it be helpful if I sent a short overview of how I could support a small pilot?</w:t>
      </w:r>
    </w:p>
    <w:p>
      <w:r>
        <w:rPr>
          <w:rFonts w:ascii="Aptos" w:hAnsi="Aptos"/>
          <w:b w:val="0"/>
          <w:color w:val="334155"/>
          <w:sz w:val="20"/>
        </w:rPr>
        <w:t>Thank you,</w:t>
        <w:br/>
        <w:t>[YOUR NAME]</w:t>
        <w:br/>
        <w:t>[TARGET ROLE / SERVICE FOCUS]</w:t>
        <w:br/>
        <w:t>[EMAIL] | [LINKEDIN OR PORTFOLIO LINK]</w:t>
      </w:r>
    </w:p>
    <w:p/>
    <w:p>
      <w:pPr>
        <w:pStyle w:val="Heading1"/>
      </w:pPr>
      <w:r>
        <w:rPr>
          <w:rFonts w:ascii="Aptos" w:hAnsi="Aptos"/>
          <w:b/>
          <w:color w:val="0B1F33"/>
          <w:sz w:val="32"/>
        </w:rPr>
        <w:t>Fictional Example Only</w:t>
      </w:r>
    </w:p>
    <w:p>
      <w:r>
        <w:rPr>
          <w:rFonts w:ascii="Aptos" w:hAnsi="Aptos"/>
          <w:b w:val="0"/>
          <w:color w:val="334155"/>
          <w:sz w:val="20"/>
        </w:rPr>
        <w:t>Subject: Quick question about verification support</w:t>
      </w:r>
    </w:p>
    <w:p>
      <w:r>
        <w:rPr>
          <w:rFonts w:ascii="Aptos" w:hAnsi="Aptos"/>
          <w:b w:val="0"/>
          <w:color w:val="334155"/>
          <w:sz w:val="20"/>
        </w:rPr>
        <w:t>Hi Office Team, I saw that Sunrise Pediatric Care provides pediatric care in Austin. I support U.S. healthcare admin workflows, especially insurance verification, payer documentation, and follow-up tracking. If your team ever needs part-time remote help with pre-visit verification, would it be helpful if I sent a short overview of a small pilot?</w:t>
      </w:r>
    </w:p>
    <w:p/>
    <w:p>
      <w:pPr>
        <w:pStyle w:val="Heading1"/>
      </w:pPr>
      <w:r>
        <w:rPr>
          <w:rFonts w:ascii="Aptos" w:hAnsi="Aptos"/>
          <w:b/>
          <w:color w:val="0B1F33"/>
          <w:sz w:val="32"/>
        </w:rPr>
        <w:t>What not to include</w:t>
      </w:r>
    </w:p>
    <w:p>
      <w:r>
        <w:rPr>
          <w:rFonts w:ascii="Aptos" w:hAnsi="Aptos"/>
          <w:b w:val="0"/>
          <w:color w:val="334155"/>
          <w:sz w:val="20"/>
        </w:rPr>
        <w:t>[ ] Do not include patient names, claim examples, screenshots, or real payer account details.</w:t>
      </w:r>
    </w:p>
    <w:p>
      <w:r>
        <w:rPr>
          <w:rFonts w:ascii="Aptos" w:hAnsi="Aptos"/>
          <w:b w:val="0"/>
          <w:color w:val="334155"/>
          <w:sz w:val="20"/>
        </w:rPr>
        <w:t>[ ] Do not claim you can do everything.</w:t>
      </w:r>
    </w:p>
    <w:p>
      <w:r>
        <w:rPr>
          <w:rFonts w:ascii="Aptos" w:hAnsi="Aptos"/>
          <w:b w:val="0"/>
          <w:color w:val="334155"/>
          <w:sz w:val="20"/>
        </w:rPr>
        <w:t>[ ] Do not say you guarantee collections, approvals, payments, or clients.</w:t>
      </w:r>
    </w:p>
    <w:p>
      <w:r>
        <w:rPr>
          <w:rFonts w:ascii="Aptos" w:hAnsi="Aptos"/>
          <w:b w:val="0"/>
          <w:color w:val="334155"/>
          <w:sz w:val="20"/>
        </w:rPr>
        <w:t>[ ] Do not use deceptive urgency or aggressive subject lines.</w:t>
      </w:r>
    </w:p>
    <w:p>
      <w:r>
        <w:rPr>
          <w:rFonts w:ascii="Aptos" w:hAnsi="Aptos"/>
          <w:b w:val="0"/>
          <w:color w:val="334155"/>
          <w:sz w:val="20"/>
        </w:rPr>
        <w:t>[ ] Do not attach confidential employer/client samples.</w:t>
      </w:r>
    </w:p>
    <w:p/>
    <w:p>
      <w:pPr>
        <w:pStyle w:val="Heading1"/>
      </w:pPr>
      <w:r>
        <w:rPr>
          <w:rFonts w:ascii="Aptos" w:hAnsi="Aptos"/>
          <w:b/>
          <w:color w:val="0B1F33"/>
          <w:sz w:val="32"/>
        </w:rPr>
        <w:t>Common Beginner Mistakes</w:t>
      </w:r>
    </w:p>
    <w:p>
      <w:r>
        <w:rPr>
          <w:rFonts w:ascii="Aptos" w:hAnsi="Aptos"/>
          <w:b w:val="0"/>
          <w:color w:val="334155"/>
          <w:sz w:val="20"/>
        </w:rPr>
        <w:t>[ ] Sending the same message to every clinic without personalization.</w:t>
      </w:r>
    </w:p>
    <w:p>
      <w:r>
        <w:rPr>
          <w:rFonts w:ascii="Aptos" w:hAnsi="Aptos"/>
          <w:b w:val="0"/>
          <w:color w:val="334155"/>
          <w:sz w:val="20"/>
        </w:rPr>
        <w:t>[ ] Claiming broad expertise instead of one focused healthcare admin offer.</w:t>
      </w:r>
    </w:p>
    <w:p>
      <w:r>
        <w:rPr>
          <w:rFonts w:ascii="Aptos" w:hAnsi="Aptos"/>
          <w:b w:val="0"/>
          <w:color w:val="334155"/>
          <w:sz w:val="20"/>
        </w:rPr>
        <w:t>[ ] Using real patient, payer, clinic, account, or login information in practice.</w:t>
      </w:r>
    </w:p>
    <w:p>
      <w:r>
        <w:rPr>
          <w:rFonts w:ascii="Aptos" w:hAnsi="Aptos"/>
          <w:b w:val="0"/>
          <w:color w:val="334155"/>
          <w:sz w:val="20"/>
        </w:rPr>
        <w:t>[ ] Pressuring a clinic after they do not reply or ask not to be contacted.</w:t>
      </w:r>
    </w:p>
    <w:p>
      <w:r>
        <w:rPr>
          <w:rFonts w:ascii="Aptos" w:hAnsi="Aptos"/>
          <w:b w:val="0"/>
          <w:color w:val="334155"/>
          <w:sz w:val="20"/>
        </w:rPr>
        <w:t>[ ] Discussing pricing, scope, or access before understanding the workflow need.</w:t>
      </w:r>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Safe Practice Reminder</w:t>
            </w:r>
          </w:p>
        </w:tc>
      </w:tr>
      <w:tr>
        <w:tc>
          <w:tcPr>
            <w:tcW w:type="dxa" w:w="10512"/>
            <w:shd w:fill="DDF7EF"/>
          </w:tcPr>
          <w:p>
            <w:r>
              <w:rPr>
                <w:rFonts w:ascii="Aptos" w:hAnsi="Aptos"/>
                <w:b w:val="0"/>
                <w:color w:val="0B1F33"/>
                <w:sz w:val="18"/>
              </w:rPr>
              <w:t>Practice with fictional clinic names, example.com email addresses, and public business information only. Keep outreach respectful, low-volume, and truthful.</w:t>
            </w:r>
          </w:p>
        </w:tc>
      </w:tr>
    </w:tbl>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No-PHI Practice Reminder</w:t>
            </w:r>
          </w:p>
        </w:tc>
      </w:tr>
      <w:tr>
        <w:tc>
          <w:tcPr>
            <w:tcW w:type="dxa" w:w="10512"/>
            <w:shd w:fill="DDF7EF"/>
          </w:tcPr>
          <w:p>
            <w:r>
              <w:rPr>
                <w:rFonts w:ascii="Aptos" w:hAnsi="Aptos"/>
                <w:b w:val="0"/>
                <w:color w:val="0B1F33"/>
                <w:sz w:val="18"/>
              </w:rP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p>
      <w:pPr>
        <w:pStyle w:val="Heading1"/>
      </w:pPr>
      <w:r>
        <w:rPr>
          <w:rFonts w:ascii="Aptos" w:hAnsi="Aptos"/>
          <w:b/>
          <w:color w:val="0B1F33"/>
          <w:sz w:val="32"/>
        </w:rPr>
        <w:t>Educational Use Only</w:t>
      </w:r>
    </w:p>
    <w:p>
      <w:r>
        <w:rPr>
          <w:rFonts w:ascii="Aptos" w:hAnsi="Aptos"/>
          <w:b w:val="0"/>
          <w:color w:val="334155"/>
          <w:sz w:val="20"/>
        </w:rP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p>
      <w:pPr>
        <w:pStyle w:val="Heading1"/>
      </w:pPr>
      <w:r>
        <w:rPr>
          <w:rFonts w:ascii="Aptos" w:hAnsi="Aptos"/>
          <w:b/>
          <w:color w:val="0B1F33"/>
          <w:sz w:val="32"/>
        </w:rPr>
        <w:t>Source/review note</w:t>
      </w:r>
    </w:p>
    <w:p>
      <w:r>
        <w:rPr>
          <w:rFonts w:ascii="Aptos" w:hAnsi="Aptos"/>
          <w:b w:val="0"/>
          <w:color w:val="334155"/>
          <w:sz w:val="20"/>
        </w:rPr>
        <w:t>This resource is for educational and business-planning use only. It does not guarantee employment, client acquisition, income, or contract approval. Keep all claims truthful and verify privacy, business, email, and client-contract requirements before use.</w:t>
      </w:r>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Recommended Next Step</w:t>
            </w:r>
          </w:p>
        </w:tc>
      </w:tr>
      <w:tr>
        <w:tc>
          <w:tcPr>
            <w:tcW w:type="dxa" w:w="10512"/>
            <w:shd w:fill="DDF7EF"/>
          </w:tcPr>
          <w:p>
            <w:r>
              <w:rPr>
                <w:rFonts w:ascii="Aptos" w:hAnsi="Aptos"/>
                <w:b w:val="0"/>
                <w:color w:val="0B1F33"/>
                <w:sz w:val="18"/>
              </w:rPr>
              <w:t>After drafting your warm email, log the lead in the Lead List Tracker and set a respectful follow-up date.</w:t>
            </w:r>
          </w:p>
        </w:tc>
      </w:tr>
    </w:tbl>
    <w:p/>
    <w:sectPr w:rsidR="00FC693F" w:rsidRPr="0006063C" w:rsidSect="00034616">
      <w:headerReference w:type="default" r:id="rId9"/>
      <w:footerReference w:type="default" r:id="rId10"/>
      <w:pgSz w:w="12240" w:h="15840"/>
      <w:pgMar w:top="792" w:right="864" w:bottom="792"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rFonts w:ascii="Aptos" w:hAnsi="Aptos"/>
        <w:b w:val="0"/>
        <w:color w:val="334155"/>
        <w:sz w:val="14"/>
      </w:rPr>
      <w:t>RisenFynix | MVA Simplified - Healthcare VA Learning Hub | Educational use only. Do not use real PHI. Verify current requirements with official sources, employer policy, payer rules, and client instructions.</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rPr>
        <w:rFonts w:ascii="Aptos" w:hAnsi="Aptos"/>
        <w:b w:val="0"/>
        <w:color w:val="0B1F33"/>
        <w:sz w:val="16"/>
      </w:rPr>
      <w:t>RisenFynix / MVA Simplified - Healthcare VA Learning Hub</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Warm Email Outreach Template</dc:title>
  <dc:subject>RisenFynix / MVA Simplified downloadable resource</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